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216" w:rsidRDefault="00290AC4">
      <w:pPr>
        <w:spacing w:after="0" w:line="240" w:lineRule="auto"/>
        <w:rPr>
          <w:rFonts w:ascii="Arial" w:eastAsia="Arial" w:hAnsi="Arial" w:cs="Arial"/>
        </w:rPr>
      </w:pPr>
      <w:bookmarkStart w:id="0" w:name="_GoBack"/>
      <w:bookmarkEnd w:id="0"/>
      <w:r>
        <w:rPr>
          <w:rFonts w:ascii="Arial" w:eastAsia="Arial" w:hAnsi="Arial" w:cs="Arial"/>
        </w:rPr>
        <w:t>Bogotá D. C.</w:t>
      </w:r>
    </w:p>
    <w:p w:rsidR="000E0216" w:rsidRDefault="000E0216">
      <w:pPr>
        <w:spacing w:after="0" w:line="240" w:lineRule="auto"/>
        <w:rPr>
          <w:rFonts w:ascii="Arial" w:eastAsia="Arial" w:hAnsi="Arial" w:cs="Arial"/>
        </w:rPr>
      </w:pPr>
    </w:p>
    <w:p w:rsidR="000E0216" w:rsidRDefault="00290AC4">
      <w:pPr>
        <w:spacing w:after="0" w:line="240" w:lineRule="auto"/>
        <w:rPr>
          <w:rFonts w:ascii="Arial" w:eastAsia="Arial" w:hAnsi="Arial" w:cs="Arial"/>
        </w:rPr>
      </w:pPr>
      <w:r>
        <w:rPr>
          <w:rFonts w:ascii="Arial" w:eastAsia="Arial" w:hAnsi="Arial" w:cs="Arial"/>
        </w:rPr>
        <w:t>Honorable Senadora</w:t>
      </w:r>
    </w:p>
    <w:p w:rsidR="000E0216" w:rsidRDefault="00290AC4">
      <w:pPr>
        <w:spacing w:after="0" w:line="240" w:lineRule="auto"/>
        <w:rPr>
          <w:rFonts w:ascii="Arial" w:eastAsia="Arial" w:hAnsi="Arial" w:cs="Arial"/>
          <w:b/>
        </w:rPr>
      </w:pPr>
      <w:r>
        <w:rPr>
          <w:rFonts w:ascii="Arial" w:eastAsia="Arial" w:hAnsi="Arial" w:cs="Arial"/>
          <w:b/>
        </w:rPr>
        <w:t>ESPERANZA ANDRADE SERRANO</w:t>
      </w:r>
    </w:p>
    <w:p w:rsidR="000E0216" w:rsidRDefault="00290AC4">
      <w:pPr>
        <w:spacing w:after="0" w:line="240" w:lineRule="auto"/>
        <w:rPr>
          <w:rFonts w:ascii="Arial" w:eastAsia="Arial" w:hAnsi="Arial" w:cs="Arial"/>
        </w:rPr>
      </w:pPr>
      <w:r>
        <w:rPr>
          <w:rFonts w:ascii="Arial" w:eastAsia="Arial" w:hAnsi="Arial" w:cs="Arial"/>
        </w:rPr>
        <w:t>Vicepresidente</w:t>
      </w:r>
    </w:p>
    <w:p w:rsidR="000E0216" w:rsidRDefault="00290AC4">
      <w:pPr>
        <w:spacing w:after="0" w:line="240" w:lineRule="auto"/>
        <w:rPr>
          <w:rFonts w:ascii="Arial" w:eastAsia="Arial" w:hAnsi="Arial" w:cs="Arial"/>
          <w:b/>
        </w:rPr>
      </w:pPr>
      <w:r>
        <w:rPr>
          <w:rFonts w:ascii="Arial" w:eastAsia="Arial" w:hAnsi="Arial" w:cs="Arial"/>
          <w:b/>
        </w:rPr>
        <w:t>COMISIÓN PRIMERA SENADO DE LA REPÚBLICA</w:t>
      </w:r>
    </w:p>
    <w:p w:rsidR="000E0216" w:rsidRDefault="00290AC4">
      <w:pPr>
        <w:spacing w:after="0" w:line="240" w:lineRule="auto"/>
        <w:rPr>
          <w:rFonts w:ascii="Arial" w:eastAsia="Arial" w:hAnsi="Arial" w:cs="Arial"/>
        </w:rPr>
      </w:pPr>
      <w:r>
        <w:rPr>
          <w:rFonts w:ascii="Arial" w:eastAsia="Arial" w:hAnsi="Arial" w:cs="Arial"/>
        </w:rPr>
        <w:t>Ciudad</w:t>
      </w:r>
    </w:p>
    <w:p w:rsidR="000E0216" w:rsidRDefault="000E0216">
      <w:pPr>
        <w:spacing w:after="0" w:line="240" w:lineRule="auto"/>
        <w:rPr>
          <w:rFonts w:ascii="Arial" w:eastAsia="Arial" w:hAnsi="Arial" w:cs="Arial"/>
        </w:rPr>
      </w:pPr>
    </w:p>
    <w:p w:rsidR="000E0216" w:rsidRDefault="00290AC4">
      <w:pPr>
        <w:spacing w:after="0" w:line="240" w:lineRule="auto"/>
        <w:rPr>
          <w:rFonts w:ascii="Arial" w:eastAsia="Arial" w:hAnsi="Arial" w:cs="Arial"/>
        </w:rPr>
      </w:pPr>
      <w:r>
        <w:rPr>
          <w:rFonts w:ascii="Arial" w:eastAsia="Arial" w:hAnsi="Arial" w:cs="Arial"/>
        </w:rPr>
        <w:t>Honorable Representante</w:t>
      </w:r>
    </w:p>
    <w:p w:rsidR="000E0216" w:rsidRDefault="00290AC4">
      <w:pPr>
        <w:spacing w:after="0" w:line="240" w:lineRule="auto"/>
        <w:rPr>
          <w:rFonts w:ascii="Arial" w:eastAsia="Arial" w:hAnsi="Arial" w:cs="Arial"/>
          <w:b/>
        </w:rPr>
      </w:pPr>
      <w:r>
        <w:rPr>
          <w:rFonts w:ascii="Arial" w:eastAsia="Arial" w:hAnsi="Arial" w:cs="Arial"/>
          <w:b/>
        </w:rPr>
        <w:t xml:space="preserve">JULIO CESAR TRIANA QUINTERO </w:t>
      </w:r>
    </w:p>
    <w:p w:rsidR="000E0216" w:rsidRDefault="00290AC4">
      <w:pPr>
        <w:spacing w:after="0" w:line="240" w:lineRule="auto"/>
        <w:rPr>
          <w:rFonts w:ascii="Arial" w:eastAsia="Arial" w:hAnsi="Arial" w:cs="Arial"/>
        </w:rPr>
      </w:pPr>
      <w:r>
        <w:rPr>
          <w:rFonts w:ascii="Arial" w:eastAsia="Arial" w:hAnsi="Arial" w:cs="Arial"/>
        </w:rPr>
        <w:t xml:space="preserve">Presidente </w:t>
      </w:r>
    </w:p>
    <w:p w:rsidR="000E0216" w:rsidRDefault="00290AC4">
      <w:pPr>
        <w:spacing w:after="0" w:line="240" w:lineRule="auto"/>
        <w:rPr>
          <w:rFonts w:ascii="Arial" w:eastAsia="Arial" w:hAnsi="Arial" w:cs="Arial"/>
          <w:b/>
        </w:rPr>
      </w:pPr>
      <w:r>
        <w:rPr>
          <w:rFonts w:ascii="Arial" w:eastAsia="Arial" w:hAnsi="Arial" w:cs="Arial"/>
          <w:b/>
        </w:rPr>
        <w:t>COMISIÓN PRIMERA CÁMARA DE REPRESENTANTES</w:t>
      </w:r>
    </w:p>
    <w:p w:rsidR="000E0216" w:rsidRDefault="00290AC4">
      <w:pPr>
        <w:spacing w:after="0" w:line="240" w:lineRule="auto"/>
        <w:rPr>
          <w:rFonts w:ascii="Arial" w:eastAsia="Arial" w:hAnsi="Arial" w:cs="Arial"/>
        </w:rPr>
      </w:pPr>
      <w:r>
        <w:rPr>
          <w:rFonts w:ascii="Arial" w:eastAsia="Arial" w:hAnsi="Arial" w:cs="Arial"/>
        </w:rPr>
        <w:t xml:space="preserve">Ciudad </w:t>
      </w:r>
    </w:p>
    <w:p w:rsidR="000E0216" w:rsidRDefault="000E0216">
      <w:pPr>
        <w:spacing w:after="0" w:line="240" w:lineRule="auto"/>
        <w:rPr>
          <w:rFonts w:ascii="Arial" w:eastAsia="Arial" w:hAnsi="Arial" w:cs="Arial"/>
        </w:rPr>
      </w:pPr>
    </w:p>
    <w:p w:rsidR="000E0216" w:rsidRDefault="000E0216">
      <w:pPr>
        <w:spacing w:after="0" w:line="240" w:lineRule="auto"/>
        <w:rPr>
          <w:rFonts w:ascii="Arial" w:eastAsia="Arial" w:hAnsi="Arial" w:cs="Arial"/>
        </w:rPr>
      </w:pPr>
    </w:p>
    <w:p w:rsidR="000E0216" w:rsidRDefault="00290AC4">
      <w:pPr>
        <w:spacing w:after="0" w:line="240" w:lineRule="auto"/>
        <w:rPr>
          <w:rFonts w:ascii="Arial" w:eastAsia="Arial" w:hAnsi="Arial" w:cs="Arial"/>
        </w:rPr>
      </w:pPr>
      <w:r>
        <w:rPr>
          <w:rFonts w:ascii="Arial" w:eastAsia="Arial" w:hAnsi="Arial" w:cs="Arial"/>
        </w:rPr>
        <w:t>Respetados Congresistas:</w:t>
      </w:r>
    </w:p>
    <w:p w:rsidR="000E0216" w:rsidRDefault="000E0216">
      <w:pPr>
        <w:spacing w:after="0" w:line="240" w:lineRule="auto"/>
        <w:rPr>
          <w:rFonts w:ascii="Arial" w:eastAsia="Arial" w:hAnsi="Arial" w:cs="Arial"/>
        </w:rPr>
      </w:pPr>
    </w:p>
    <w:p w:rsidR="000E0216" w:rsidRDefault="00290AC4">
      <w:pPr>
        <w:spacing w:after="0" w:line="240" w:lineRule="auto"/>
        <w:jc w:val="both"/>
        <w:rPr>
          <w:rFonts w:ascii="Arial" w:eastAsia="Arial" w:hAnsi="Arial" w:cs="Arial"/>
        </w:rPr>
      </w:pPr>
      <w:r>
        <w:rPr>
          <w:rFonts w:ascii="Arial" w:eastAsia="Arial" w:hAnsi="Arial" w:cs="Arial"/>
        </w:rPr>
        <w:t>Atendiendo la honrosa designación que se nos ha hecho, y en cumplimiento del mandato constitucional y de lo dispuesto por la Ley 5ª de 1992, nos permitimos rendir informe de ponencia para primer debate en las Comisiones Primeras Conjuntas del Senado de la República y de la Cámara de Representantes al Proyecto de Ley No. 325 de 2022 (Senado) y 441 de 2022 (Cámara) “Por medio del cual se establece la vigencia permanente del decreto legislativo 806 de 2020”.</w:t>
      </w:r>
    </w:p>
    <w:p w:rsidR="000E0216" w:rsidRDefault="000E0216">
      <w:pPr>
        <w:spacing w:after="0" w:line="240" w:lineRule="auto"/>
        <w:jc w:val="both"/>
        <w:rPr>
          <w:rFonts w:ascii="Arial" w:eastAsia="Arial" w:hAnsi="Arial" w:cs="Arial"/>
        </w:rPr>
      </w:pPr>
    </w:p>
    <w:p w:rsidR="00AC13D1" w:rsidRDefault="00AC13D1">
      <w:pPr>
        <w:spacing w:after="0" w:line="240" w:lineRule="auto"/>
        <w:jc w:val="both"/>
        <w:rPr>
          <w:rFonts w:ascii="Arial" w:eastAsia="Arial" w:hAnsi="Arial" w:cs="Arial"/>
        </w:rPr>
      </w:pPr>
    </w:p>
    <w:p w:rsidR="000E0216" w:rsidRDefault="00290AC4">
      <w:pPr>
        <w:numPr>
          <w:ilvl w:val="0"/>
          <w:numId w:val="6"/>
        </w:numPr>
        <w:pBdr>
          <w:top w:val="nil"/>
          <w:left w:val="nil"/>
          <w:bottom w:val="nil"/>
          <w:right w:val="nil"/>
          <w:between w:val="nil"/>
        </w:pBdr>
        <w:spacing w:after="0" w:line="240" w:lineRule="auto"/>
        <w:ind w:left="0" w:firstLine="0"/>
        <w:jc w:val="center"/>
        <w:rPr>
          <w:rFonts w:ascii="Arial" w:eastAsia="Arial" w:hAnsi="Arial" w:cs="Arial"/>
          <w:b/>
          <w:color w:val="000000"/>
        </w:rPr>
      </w:pPr>
      <w:r>
        <w:rPr>
          <w:rFonts w:ascii="Arial" w:eastAsia="Arial" w:hAnsi="Arial" w:cs="Arial"/>
          <w:b/>
          <w:color w:val="000000"/>
        </w:rPr>
        <w:t>ANTECEDENTES Y TRÁMITE</w:t>
      </w:r>
    </w:p>
    <w:p w:rsidR="000E0216" w:rsidRDefault="000E0216">
      <w:pPr>
        <w:pBdr>
          <w:top w:val="nil"/>
          <w:left w:val="nil"/>
          <w:bottom w:val="nil"/>
          <w:right w:val="nil"/>
          <w:between w:val="nil"/>
        </w:pBdr>
        <w:spacing w:after="0" w:line="240" w:lineRule="auto"/>
        <w:ind w:left="1080"/>
        <w:jc w:val="both"/>
        <w:rPr>
          <w:rFonts w:ascii="Arial" w:eastAsia="Arial" w:hAnsi="Arial" w:cs="Arial"/>
          <w:b/>
          <w:color w:val="000000"/>
        </w:rPr>
      </w:pPr>
    </w:p>
    <w:p w:rsidR="000E0216" w:rsidRDefault="00290AC4">
      <w:pPr>
        <w:spacing w:after="0" w:line="240" w:lineRule="auto"/>
        <w:jc w:val="both"/>
        <w:rPr>
          <w:rFonts w:ascii="Arial" w:eastAsia="Arial" w:hAnsi="Arial" w:cs="Arial"/>
        </w:rPr>
      </w:pPr>
      <w:r>
        <w:rPr>
          <w:rFonts w:ascii="Arial" w:eastAsia="Arial" w:hAnsi="Arial" w:cs="Arial"/>
        </w:rPr>
        <w:t xml:space="preserve">El presente proyecto de ley fue radicado el 21 de febrero de 2022 ante el H. Congreso de la República por el Gobierno Nacional a través del Ministro de Justicia y del Derecho WILSON RUIZ OREJUELA, con la firma en coautoría de la Corte Suprema de Justicia AROLDO WILSON QUIROZ MONSALVO – Presidente, Consejo de Estado CARLOS ENRIQUE MORENO RUBIO - Presidente, Consejo Superior de la Judicatura JORGE LUIS TRUJILLO ALFARO – Presidente, Comisión Nacional de Disciplina Judicial DIANA MARÍA VÉLEZ VÁSQUEZ - Presidente, Fiscalía General de la Nación FRANCISCO BARBOSA DELGADO – Fiscal General, Defensoría del Pueblo – CARLOS CAMARGO ASSIS – Defensor del Pueblo. </w:t>
      </w:r>
    </w:p>
    <w:p w:rsidR="000E0216" w:rsidRDefault="000E0216">
      <w:pPr>
        <w:spacing w:after="0" w:line="240" w:lineRule="auto"/>
        <w:jc w:val="both"/>
        <w:rPr>
          <w:rFonts w:ascii="Arial" w:eastAsia="Arial" w:hAnsi="Arial" w:cs="Arial"/>
        </w:rPr>
      </w:pPr>
    </w:p>
    <w:p w:rsidR="000E0216" w:rsidRDefault="00290AC4">
      <w:pPr>
        <w:spacing w:after="0" w:line="240" w:lineRule="auto"/>
        <w:jc w:val="both"/>
        <w:rPr>
          <w:rFonts w:ascii="Arial" w:eastAsia="Arial" w:hAnsi="Arial" w:cs="Arial"/>
        </w:rPr>
      </w:pPr>
      <w:r>
        <w:rPr>
          <w:rFonts w:ascii="Arial" w:eastAsia="Arial" w:hAnsi="Arial" w:cs="Arial"/>
        </w:rPr>
        <w:t xml:space="preserve">El proyecto de ley es objeto de mensaje de urgencia por el Presidente de la República de conformidad con lo establecido en los artículos 163 de la Constitución Política y 191 de la Ley 5 de 1992 sustentado en la necesidad de continuar impulsando el fortalecimiento y la utilización de los servicios digitales y de tecnología en la prestación del servicio público esencial de la administración de justicia, pues la experiencia demostró con creces que la adaptabilidad del sistema a la actual era digital resultaba ser una necesidad. Así es urgente y necesario dar continuidad a los avances que en materia de justicia digital se dieron con ocasión de la pandemia, teniendo en cuenta que el Decreto Legislativo 806 del 4 de junio de 2020 en su artículo 16 fijo una vigencia de dos (2) años a partir de su publicación, por lo que estará vigente hasta el 3 de junio de 2022, lo que implicaría una regresividad en el </w:t>
      </w:r>
      <w:r>
        <w:rPr>
          <w:rFonts w:ascii="Arial" w:eastAsia="Arial" w:hAnsi="Arial" w:cs="Arial"/>
        </w:rPr>
        <w:lastRenderedPageBreak/>
        <w:t xml:space="preserve">derecho de acceso a la justicia al retornar a la presencialidad total y la negación de su acceso a través de medios digitales. </w:t>
      </w:r>
    </w:p>
    <w:p w:rsidR="000E0216" w:rsidRDefault="000E0216">
      <w:pPr>
        <w:spacing w:after="0" w:line="240" w:lineRule="auto"/>
        <w:jc w:val="both"/>
        <w:rPr>
          <w:rFonts w:ascii="Arial" w:eastAsia="Arial" w:hAnsi="Arial" w:cs="Arial"/>
        </w:rPr>
      </w:pPr>
    </w:p>
    <w:p w:rsidR="000E0216" w:rsidRDefault="00290AC4">
      <w:pPr>
        <w:spacing w:after="0" w:line="240" w:lineRule="auto"/>
        <w:jc w:val="both"/>
        <w:rPr>
          <w:rFonts w:ascii="Arial" w:eastAsia="Arial" w:hAnsi="Arial" w:cs="Arial"/>
        </w:rPr>
      </w:pPr>
      <w:r>
        <w:rPr>
          <w:rFonts w:ascii="Arial" w:eastAsia="Arial" w:hAnsi="Arial" w:cs="Arial"/>
        </w:rPr>
        <w:t xml:space="preserve">El proyecto de ley 325 de 2022 Senado – 441 de 2022 Cámara, se encuentra acumulado a los siguientes proyectos de ley: </w:t>
      </w:r>
    </w:p>
    <w:p w:rsidR="000E0216" w:rsidRDefault="000E0216">
      <w:pPr>
        <w:spacing w:after="0" w:line="240" w:lineRule="auto"/>
        <w:jc w:val="both"/>
        <w:rPr>
          <w:rFonts w:ascii="Arial" w:eastAsia="Arial" w:hAnsi="Arial" w:cs="Arial"/>
        </w:rPr>
      </w:pPr>
    </w:p>
    <w:p w:rsidR="000E0216" w:rsidRDefault="00290AC4">
      <w:pPr>
        <w:pBdr>
          <w:top w:val="nil"/>
          <w:left w:val="nil"/>
          <w:bottom w:val="nil"/>
          <w:right w:val="nil"/>
          <w:between w:val="nil"/>
        </w:pBdr>
        <w:spacing w:after="0" w:line="240" w:lineRule="auto"/>
        <w:jc w:val="both"/>
        <w:rPr>
          <w:rFonts w:ascii="Arial" w:eastAsia="Arial" w:hAnsi="Arial" w:cs="Arial"/>
          <w:b/>
          <w:color w:val="000000"/>
          <w:u w:val="single"/>
        </w:rPr>
      </w:pPr>
      <w:r>
        <w:rPr>
          <w:rFonts w:ascii="Arial" w:eastAsia="Arial" w:hAnsi="Arial" w:cs="Arial"/>
          <w:b/>
          <w:color w:val="000000"/>
          <w:u w:val="single"/>
        </w:rPr>
        <w:t>Proyecto 323 de 2022 Senado</w:t>
      </w:r>
    </w:p>
    <w:p w:rsidR="000E0216" w:rsidRDefault="000E0216">
      <w:pPr>
        <w:pBdr>
          <w:top w:val="nil"/>
          <w:left w:val="nil"/>
          <w:bottom w:val="nil"/>
          <w:right w:val="nil"/>
          <w:between w:val="nil"/>
        </w:pBdr>
        <w:spacing w:after="0" w:line="240" w:lineRule="auto"/>
        <w:jc w:val="both"/>
        <w:rPr>
          <w:rFonts w:ascii="Arial" w:eastAsia="Arial" w:hAnsi="Arial" w:cs="Arial"/>
          <w:b/>
          <w:color w:val="000000"/>
          <w:u w:val="single"/>
        </w:rPr>
      </w:pPr>
    </w:p>
    <w:p w:rsidR="000E0216" w:rsidRDefault="00290AC4">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De autoría del H. Senador German Varón Cotrino, “por el cual se adoptan medidas para implementar las tecnologías de la información y las comunicaciones en las actuaciones judiciales, agilizar los procesos judiciales y flexibilizar la atención a los usuarios del servicio de justicia”.</w:t>
      </w:r>
    </w:p>
    <w:p w:rsidR="000E0216" w:rsidRDefault="000E0216">
      <w:pPr>
        <w:pBdr>
          <w:top w:val="nil"/>
          <w:left w:val="nil"/>
          <w:bottom w:val="nil"/>
          <w:right w:val="nil"/>
          <w:between w:val="nil"/>
        </w:pBdr>
        <w:spacing w:after="0" w:line="240" w:lineRule="auto"/>
        <w:jc w:val="both"/>
        <w:rPr>
          <w:rFonts w:ascii="Arial" w:eastAsia="Arial" w:hAnsi="Arial" w:cs="Arial"/>
          <w:color w:val="000000"/>
        </w:rPr>
      </w:pPr>
    </w:p>
    <w:p w:rsidR="000E0216" w:rsidRDefault="00290AC4">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El proyecto consta de 14 artículos, incluida su vigencia y contiene la réplica de los artículos contenidos en el decreto legislativo 806 de 2020. Salvo los artículos 12 y 13 en cuanto los mismo fueron incluidos mediante la Ley 2080 de 2021 en la Ley 1437 de 2011 CPACA.</w:t>
      </w:r>
    </w:p>
    <w:p w:rsidR="000E0216" w:rsidRDefault="000E0216">
      <w:pPr>
        <w:pBdr>
          <w:top w:val="nil"/>
          <w:left w:val="nil"/>
          <w:bottom w:val="nil"/>
          <w:right w:val="nil"/>
          <w:between w:val="nil"/>
        </w:pBdr>
        <w:spacing w:after="0" w:line="240" w:lineRule="auto"/>
        <w:jc w:val="both"/>
        <w:rPr>
          <w:rFonts w:ascii="Arial" w:eastAsia="Arial" w:hAnsi="Arial" w:cs="Arial"/>
          <w:color w:val="000000"/>
        </w:rPr>
      </w:pPr>
    </w:p>
    <w:p w:rsidR="000E0216" w:rsidRDefault="00290AC4">
      <w:pPr>
        <w:pBdr>
          <w:top w:val="nil"/>
          <w:left w:val="nil"/>
          <w:bottom w:val="nil"/>
          <w:right w:val="nil"/>
          <w:between w:val="nil"/>
        </w:pBdr>
        <w:spacing w:after="0" w:line="240" w:lineRule="auto"/>
        <w:jc w:val="both"/>
        <w:rPr>
          <w:rFonts w:ascii="Arial" w:eastAsia="Arial" w:hAnsi="Arial" w:cs="Arial"/>
          <w:b/>
          <w:color w:val="000000"/>
          <w:u w:val="single"/>
        </w:rPr>
      </w:pPr>
      <w:r>
        <w:rPr>
          <w:rFonts w:ascii="Arial" w:eastAsia="Arial" w:hAnsi="Arial" w:cs="Arial"/>
          <w:b/>
          <w:color w:val="000000"/>
          <w:u w:val="single"/>
        </w:rPr>
        <w:t>Proyecto 324 de 2022 Senado</w:t>
      </w:r>
    </w:p>
    <w:p w:rsidR="000E0216" w:rsidRDefault="000E0216">
      <w:pPr>
        <w:pBdr>
          <w:top w:val="nil"/>
          <w:left w:val="nil"/>
          <w:bottom w:val="nil"/>
          <w:right w:val="nil"/>
          <w:between w:val="nil"/>
        </w:pBdr>
        <w:spacing w:after="0" w:line="240" w:lineRule="auto"/>
        <w:jc w:val="both"/>
        <w:rPr>
          <w:rFonts w:ascii="Arial" w:eastAsia="Arial" w:hAnsi="Arial" w:cs="Arial"/>
          <w:color w:val="000000"/>
        </w:rPr>
      </w:pPr>
    </w:p>
    <w:p w:rsidR="000E0216" w:rsidRDefault="00290AC4">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De autoría de la H. senadora María Fernanda Cabal, “por medio de la cual se implementa el uso de las tecnologías de la información y las comunicaciones en las actuaciones judiciales para agilizar el trámite de los procesos judiciales ante la jurisdicción ordinaria, en las especialidades civil, laboral, familia; jurisdicción de lo contencioso administrativo, jurisdicción constitucional y disciplinaria, penal, penal militar; así como las actuaciones de las autoridades administrativas que ejerzan funciones jurisdiccionales y en los procesos arbitrales, así como la flexibilización de la atención a los usuarios del servicio de justicia y se dictan otras disposiciones”.</w:t>
      </w:r>
    </w:p>
    <w:p w:rsidR="000E0216" w:rsidRDefault="000E0216">
      <w:pPr>
        <w:pBdr>
          <w:top w:val="nil"/>
          <w:left w:val="nil"/>
          <w:bottom w:val="nil"/>
          <w:right w:val="nil"/>
          <w:between w:val="nil"/>
        </w:pBdr>
        <w:spacing w:after="0" w:line="240" w:lineRule="auto"/>
        <w:jc w:val="both"/>
        <w:rPr>
          <w:rFonts w:ascii="Arial" w:eastAsia="Arial" w:hAnsi="Arial" w:cs="Arial"/>
          <w:color w:val="000000"/>
        </w:rPr>
      </w:pPr>
    </w:p>
    <w:p w:rsidR="000E0216" w:rsidRDefault="00290AC4">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El proyecto de ley consigna las normas contenidas en el decreto legislativo 806 de 2020, incluidos los artículos 12 y 13 que hoy son legislación permanente al ser incluidos en la Ley 1437 de 2011 CPACA por la Ley 2080 de 2021, que lo reformo.</w:t>
      </w:r>
    </w:p>
    <w:p w:rsidR="000E0216" w:rsidRDefault="000E0216">
      <w:pPr>
        <w:pBdr>
          <w:top w:val="nil"/>
          <w:left w:val="nil"/>
          <w:bottom w:val="nil"/>
          <w:right w:val="nil"/>
          <w:between w:val="nil"/>
        </w:pBdr>
        <w:spacing w:after="0" w:line="240" w:lineRule="auto"/>
        <w:jc w:val="both"/>
        <w:rPr>
          <w:rFonts w:ascii="Arial" w:eastAsia="Arial" w:hAnsi="Arial" w:cs="Arial"/>
          <w:color w:val="000000"/>
        </w:rPr>
      </w:pPr>
    </w:p>
    <w:p w:rsidR="000E0216" w:rsidRDefault="00290AC4">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Se incluye un inciso adicional en el artículo 1º: “Por lo anterior, todas las audiencias se celebrarán de manera virtual, sin que se pueda obligar a una de las partes a comparecer de manera presencial siempre y cuando se garantice la presentación del servicio de la justicia debiendo informar a las partes las forma en la que acudirán a las diligencias de manera previa a estas.”.</w:t>
      </w:r>
    </w:p>
    <w:p w:rsidR="000E0216" w:rsidRDefault="000E0216">
      <w:pPr>
        <w:pBdr>
          <w:top w:val="nil"/>
          <w:left w:val="nil"/>
          <w:bottom w:val="nil"/>
          <w:right w:val="nil"/>
          <w:between w:val="nil"/>
        </w:pBdr>
        <w:spacing w:after="0" w:line="240" w:lineRule="auto"/>
        <w:jc w:val="both"/>
        <w:rPr>
          <w:rFonts w:ascii="Arial" w:eastAsia="Arial" w:hAnsi="Arial" w:cs="Arial"/>
          <w:color w:val="000000"/>
        </w:rPr>
      </w:pPr>
    </w:p>
    <w:p w:rsidR="000E0216" w:rsidRDefault="00290AC4">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Un parágrafo adicional en el artículo 6º: “PARÁGRAFO: En el evento en que el demandante desconozca la dirección electrónica de los peritos, testigos o cualquier tercero que deba ser citado al proceso, podrá indicarlo así en la demanda sin que ello implique su inadmisión.”.</w:t>
      </w:r>
    </w:p>
    <w:p w:rsidR="000E0216" w:rsidRDefault="000E0216">
      <w:pPr>
        <w:pBdr>
          <w:top w:val="nil"/>
          <w:left w:val="nil"/>
          <w:bottom w:val="nil"/>
          <w:right w:val="nil"/>
          <w:between w:val="nil"/>
        </w:pBdr>
        <w:spacing w:after="0" w:line="240" w:lineRule="auto"/>
        <w:jc w:val="both"/>
        <w:rPr>
          <w:color w:val="000000"/>
        </w:rPr>
      </w:pPr>
    </w:p>
    <w:p w:rsidR="000E0216" w:rsidRDefault="00290AC4">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Y un inciso adicional al parágrafo del artículo 9º: “en el entendido de que el término allí dispuesto empezará a contarse cuando el iniciador recepcione acuse de recibo o se pueda por otro medio constatar el acceso del destinatario al mensaje.”</w:t>
      </w:r>
    </w:p>
    <w:p w:rsidR="000E0216" w:rsidRDefault="000E0216">
      <w:pPr>
        <w:pBdr>
          <w:top w:val="nil"/>
          <w:left w:val="nil"/>
          <w:bottom w:val="nil"/>
          <w:right w:val="nil"/>
          <w:between w:val="nil"/>
        </w:pBdr>
        <w:spacing w:after="0" w:line="240" w:lineRule="auto"/>
        <w:jc w:val="both"/>
        <w:rPr>
          <w:rFonts w:ascii="Arial" w:eastAsia="Arial" w:hAnsi="Arial" w:cs="Arial"/>
          <w:color w:val="000000"/>
        </w:rPr>
      </w:pPr>
    </w:p>
    <w:p w:rsidR="000E0216" w:rsidRDefault="00290AC4">
      <w:pPr>
        <w:pBdr>
          <w:top w:val="nil"/>
          <w:left w:val="nil"/>
          <w:bottom w:val="nil"/>
          <w:right w:val="nil"/>
          <w:between w:val="nil"/>
        </w:pBdr>
        <w:spacing w:after="0" w:line="240" w:lineRule="auto"/>
        <w:jc w:val="both"/>
        <w:rPr>
          <w:rFonts w:ascii="Arial" w:eastAsia="Arial" w:hAnsi="Arial" w:cs="Arial"/>
          <w:b/>
          <w:color w:val="000000"/>
          <w:u w:val="single"/>
        </w:rPr>
      </w:pPr>
      <w:r>
        <w:rPr>
          <w:rFonts w:ascii="Arial" w:eastAsia="Arial" w:hAnsi="Arial" w:cs="Arial"/>
          <w:b/>
          <w:color w:val="000000"/>
          <w:u w:val="single"/>
        </w:rPr>
        <w:t>Proyecto 328 de 2022 Senado</w:t>
      </w:r>
    </w:p>
    <w:p w:rsidR="000E0216" w:rsidRDefault="000E0216">
      <w:pPr>
        <w:pBdr>
          <w:top w:val="nil"/>
          <w:left w:val="nil"/>
          <w:bottom w:val="nil"/>
          <w:right w:val="nil"/>
          <w:between w:val="nil"/>
        </w:pBdr>
        <w:spacing w:after="0" w:line="240" w:lineRule="auto"/>
        <w:jc w:val="both"/>
        <w:rPr>
          <w:rFonts w:ascii="Arial" w:eastAsia="Arial" w:hAnsi="Arial" w:cs="Arial"/>
          <w:b/>
          <w:color w:val="000000"/>
          <w:u w:val="single"/>
        </w:rPr>
      </w:pPr>
    </w:p>
    <w:p w:rsidR="000E0216" w:rsidRDefault="00290AC4">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lastRenderedPageBreak/>
        <w:t>De autoría de la H. Senadora Angélica Lozano Correa “por medio del cual se adopta como legislación permanente el decreto 806 de 4 de junio de 2020 y se dictan otras disposiciones”.</w:t>
      </w:r>
    </w:p>
    <w:p w:rsidR="000E0216" w:rsidRDefault="000E0216">
      <w:pPr>
        <w:pBdr>
          <w:top w:val="nil"/>
          <w:left w:val="nil"/>
          <w:bottom w:val="nil"/>
          <w:right w:val="nil"/>
          <w:between w:val="nil"/>
        </w:pBdr>
        <w:spacing w:after="0" w:line="240" w:lineRule="auto"/>
        <w:jc w:val="both"/>
        <w:rPr>
          <w:rFonts w:ascii="Arial" w:eastAsia="Arial" w:hAnsi="Arial" w:cs="Arial"/>
          <w:color w:val="000000"/>
        </w:rPr>
      </w:pPr>
    </w:p>
    <w:p w:rsidR="000E0216" w:rsidRDefault="00290AC4">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El proyecto efectúa modificaciones a lo normado en el decreto legislativo 806 de 2020, introduciendo un artículo 1º, de finalidad y modificando los artículos 1, 3, 4, 5, 6, 7, 8 y 14 originales del mismo. Elimina los artículos 12 y 13 e introduce tres artículos nuevos sobre enfoque de género y auxilio de conectividad. </w:t>
      </w:r>
    </w:p>
    <w:p w:rsidR="000E0216" w:rsidRDefault="000E0216">
      <w:pPr>
        <w:spacing w:after="0" w:line="240" w:lineRule="auto"/>
        <w:jc w:val="both"/>
        <w:rPr>
          <w:rFonts w:ascii="Arial" w:eastAsia="Arial" w:hAnsi="Arial" w:cs="Arial"/>
        </w:rPr>
      </w:pPr>
    </w:p>
    <w:p w:rsidR="000E0216" w:rsidRDefault="00AC13D1">
      <w:pPr>
        <w:spacing w:after="0" w:line="240" w:lineRule="auto"/>
        <w:jc w:val="both"/>
        <w:rPr>
          <w:rFonts w:ascii="Arial" w:eastAsia="Arial" w:hAnsi="Arial" w:cs="Arial"/>
        </w:rPr>
      </w:pPr>
      <w:r>
        <w:rPr>
          <w:rFonts w:ascii="Arial" w:eastAsia="Arial" w:hAnsi="Arial" w:cs="Arial"/>
        </w:rPr>
        <w:t>Como quedó anotado</w:t>
      </w:r>
      <w:r w:rsidR="00290AC4">
        <w:rPr>
          <w:rFonts w:ascii="Arial" w:eastAsia="Arial" w:hAnsi="Arial" w:cs="Arial"/>
        </w:rPr>
        <w:t>, mediante oficio radicado el día 28 de marzo de 2022 en las Presidencias del Senado de la República, Cámara de Representantes, Comisión Primera del Senado y Cámara de Representantes, el Presidente de la República, dr. Iván Duque Márques, con la firma del Ministro del Interior, dr. Daniel Palacios Martínez y del Ministro de Justicia y del Derecho, dr. Wilson Ruíz Orejuela, solicitaron dar trámite de Urgencia únicamente al Proyecto de Ley No. 325 de 2022 (Senado) “por medio del cual se establece la vigencia permanente del decreto legislativo 806 de 2020”.</w:t>
      </w:r>
    </w:p>
    <w:p w:rsidR="000E0216" w:rsidRDefault="000E0216">
      <w:pPr>
        <w:spacing w:after="0" w:line="240" w:lineRule="auto"/>
        <w:jc w:val="both"/>
        <w:rPr>
          <w:rFonts w:ascii="Arial" w:eastAsia="Arial" w:hAnsi="Arial" w:cs="Arial"/>
        </w:rPr>
      </w:pPr>
    </w:p>
    <w:p w:rsidR="000E0216" w:rsidRDefault="00290AC4">
      <w:pPr>
        <w:spacing w:after="0" w:line="240" w:lineRule="auto"/>
        <w:jc w:val="both"/>
        <w:rPr>
          <w:rFonts w:ascii="Arial" w:eastAsia="Arial" w:hAnsi="Arial" w:cs="Arial"/>
        </w:rPr>
      </w:pPr>
      <w:r>
        <w:rPr>
          <w:rFonts w:ascii="Arial" w:eastAsia="Arial" w:hAnsi="Arial" w:cs="Arial"/>
        </w:rPr>
        <w:t xml:space="preserve">En consecuencia con lo anterior, dado que el mensaje de urgencia sólo </w:t>
      </w:r>
      <w:r w:rsidR="00AC13D1">
        <w:rPr>
          <w:rFonts w:ascii="Arial" w:eastAsia="Arial" w:hAnsi="Arial" w:cs="Arial"/>
        </w:rPr>
        <w:t xml:space="preserve">se da </w:t>
      </w:r>
      <w:r>
        <w:rPr>
          <w:rFonts w:ascii="Arial" w:eastAsia="Arial" w:hAnsi="Arial" w:cs="Arial"/>
        </w:rPr>
        <w:t>para el proyecto de ley 325 de 2022 Senado – 441 de 2022 Cámara, se rendirá ponencia sobre este último sin incluir los proyectos de ley 323 de 2022 Senado, PL 324 de 2022 Senado y PL 328 de 2022 Senado.</w:t>
      </w:r>
    </w:p>
    <w:p w:rsidR="000E0216" w:rsidRDefault="000E0216">
      <w:pPr>
        <w:spacing w:after="0" w:line="240" w:lineRule="auto"/>
        <w:jc w:val="both"/>
        <w:rPr>
          <w:rFonts w:ascii="Arial" w:eastAsia="Arial" w:hAnsi="Arial" w:cs="Arial"/>
          <w:b/>
        </w:rPr>
      </w:pPr>
    </w:p>
    <w:p w:rsidR="000E0216" w:rsidRDefault="00290AC4">
      <w:pPr>
        <w:numPr>
          <w:ilvl w:val="0"/>
          <w:numId w:val="4"/>
        </w:num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color w:val="000000"/>
        </w:rPr>
        <w:t>AUDIENCIA PÚBLICA.</w:t>
      </w:r>
    </w:p>
    <w:p w:rsidR="000E0216" w:rsidRDefault="000E0216">
      <w:pPr>
        <w:spacing w:after="0" w:line="240" w:lineRule="auto"/>
        <w:jc w:val="both"/>
        <w:rPr>
          <w:rFonts w:ascii="Arial" w:eastAsia="Arial" w:hAnsi="Arial" w:cs="Arial"/>
          <w:b/>
        </w:rPr>
      </w:pPr>
    </w:p>
    <w:p w:rsidR="000E0216" w:rsidRDefault="00290AC4">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Mediante la Resolución No. 11 del 28 de marzo de 2022, la mesa directiva Comisión Primera Constitucional permanente del H. Senado de la República convocó a audiencia pública, realizada el día 6 de abril de 2022, mediante plataforma Zoom, a las 9:00 am.</w:t>
      </w:r>
    </w:p>
    <w:p w:rsidR="000E0216" w:rsidRDefault="000E0216">
      <w:pPr>
        <w:pBdr>
          <w:top w:val="nil"/>
          <w:left w:val="nil"/>
          <w:bottom w:val="nil"/>
          <w:right w:val="nil"/>
          <w:between w:val="nil"/>
        </w:pBdr>
        <w:spacing w:after="0" w:line="240" w:lineRule="auto"/>
        <w:jc w:val="both"/>
        <w:rPr>
          <w:rFonts w:ascii="Arial" w:eastAsia="Arial" w:hAnsi="Arial" w:cs="Arial"/>
          <w:color w:val="000000"/>
        </w:rPr>
      </w:pPr>
    </w:p>
    <w:p w:rsidR="000E0216" w:rsidRDefault="00290AC4">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Audiencia en la que se dieron las siguientes intervenciones:</w:t>
      </w:r>
    </w:p>
    <w:p w:rsidR="000E0216" w:rsidRDefault="000E0216">
      <w:pPr>
        <w:pBdr>
          <w:top w:val="nil"/>
          <w:left w:val="nil"/>
          <w:bottom w:val="nil"/>
          <w:right w:val="nil"/>
          <w:between w:val="nil"/>
        </w:pBdr>
        <w:spacing w:after="0" w:line="240" w:lineRule="auto"/>
        <w:jc w:val="both"/>
        <w:rPr>
          <w:rFonts w:ascii="Arial" w:eastAsia="Arial" w:hAnsi="Arial" w:cs="Arial"/>
          <w:color w:val="000000"/>
        </w:rPr>
      </w:pPr>
    </w:p>
    <w:p w:rsidR="000E0216" w:rsidRDefault="00290AC4">
      <w:pPr>
        <w:spacing w:after="0" w:line="240" w:lineRule="auto"/>
        <w:jc w:val="both"/>
        <w:rPr>
          <w:rFonts w:ascii="Arial" w:eastAsia="Arial" w:hAnsi="Arial" w:cs="Arial"/>
          <w:b/>
        </w:rPr>
      </w:pPr>
      <w:r>
        <w:rPr>
          <w:rFonts w:ascii="Arial" w:eastAsia="Arial" w:hAnsi="Arial" w:cs="Arial"/>
          <w:b/>
        </w:rPr>
        <w:t>MAGISTRADO MARTIN BERMUDEZ (CONSEJO DE ESTADO)</w:t>
      </w:r>
    </w:p>
    <w:p w:rsidR="000E0216" w:rsidRDefault="00290AC4">
      <w:pPr>
        <w:numPr>
          <w:ilvl w:val="0"/>
          <w:numId w:val="5"/>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Expresa el total apoyo a que se adopte como legislación permanente el decreto 806 y a que se reitre la voluntad de las cortes de darle prioridad a la virtualidad en el manejo del proceso.</w:t>
      </w:r>
    </w:p>
    <w:p w:rsidR="000E0216" w:rsidRDefault="00290AC4">
      <w:pPr>
        <w:numPr>
          <w:ilvl w:val="0"/>
          <w:numId w:val="5"/>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Proyecto de ley conjunto que tiene dos artículos, el primero en el cual se aprueba adoptar como legislación permanente el decreto 806 y el segundo en el cual se reitera que la virtualidad sea la regla general como derecho de acceso a la administración de justicia.</w:t>
      </w:r>
    </w:p>
    <w:p w:rsidR="000E0216" w:rsidRDefault="00290AC4">
      <w:pPr>
        <w:numPr>
          <w:ilvl w:val="0"/>
          <w:numId w:val="5"/>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El decreto 806 ha funcionado perfectamente, ha permitido la agilidad de la justicia y ha permitido que el usuario tenga acceso a la administración de justicia de manera expedita. </w:t>
      </w:r>
    </w:p>
    <w:p w:rsidR="000E0216" w:rsidRDefault="00290AC4">
      <w:pPr>
        <w:numPr>
          <w:ilvl w:val="0"/>
          <w:numId w:val="5"/>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La Corte Constitucional ya declaro la constitucionalidad del decreto 806.</w:t>
      </w:r>
    </w:p>
    <w:p w:rsidR="000E0216" w:rsidRDefault="00290AC4">
      <w:pPr>
        <w:numPr>
          <w:ilvl w:val="0"/>
          <w:numId w:val="5"/>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El decreto 806 establece que cuando en un lugar no haya posibilidad de hacerlo o las partes no tenga acceso a medios tecnológicos para acceder a una audiencia, puedan solicitarle al juez que se realice de manera presencial. </w:t>
      </w:r>
    </w:p>
    <w:p w:rsidR="000E0216" w:rsidRDefault="00290AC4">
      <w:pPr>
        <w:numPr>
          <w:ilvl w:val="0"/>
          <w:numId w:val="5"/>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Las partes tienen hoy el derecho a que la audiencia se realice de manera virtual. </w:t>
      </w:r>
    </w:p>
    <w:p w:rsidR="000E0216" w:rsidRDefault="00290AC4">
      <w:pPr>
        <w:numPr>
          <w:ilvl w:val="0"/>
          <w:numId w:val="5"/>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En la práctica se evidencia que a través de la virtualidad han agilizado los procesos.</w:t>
      </w:r>
    </w:p>
    <w:p w:rsidR="000E0216" w:rsidRDefault="000E0216">
      <w:pPr>
        <w:spacing w:after="0" w:line="240" w:lineRule="auto"/>
        <w:jc w:val="both"/>
        <w:rPr>
          <w:rFonts w:ascii="Arial" w:eastAsia="Arial" w:hAnsi="Arial" w:cs="Arial"/>
          <w:b/>
        </w:rPr>
      </w:pPr>
    </w:p>
    <w:p w:rsidR="000E0216" w:rsidRDefault="00290AC4">
      <w:pPr>
        <w:spacing w:after="0" w:line="240" w:lineRule="auto"/>
        <w:jc w:val="both"/>
        <w:rPr>
          <w:rFonts w:ascii="Arial" w:eastAsia="Arial" w:hAnsi="Arial" w:cs="Arial"/>
          <w:b/>
        </w:rPr>
      </w:pPr>
      <w:r>
        <w:rPr>
          <w:rFonts w:ascii="Arial" w:eastAsia="Arial" w:hAnsi="Arial" w:cs="Arial"/>
          <w:b/>
        </w:rPr>
        <w:lastRenderedPageBreak/>
        <w:t>ULISES CANOSA SUAREZ (PRESIDENTE INSTITUTO DE DERECHO PROCESAL)</w:t>
      </w:r>
    </w:p>
    <w:p w:rsidR="000E0216" w:rsidRDefault="00290AC4">
      <w:pPr>
        <w:numPr>
          <w:ilvl w:val="0"/>
          <w:numId w:val="5"/>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Solicita al congreso la aprobación del proyecto 325 radicado por el Ministerio de Justicia y del derecho.</w:t>
      </w:r>
    </w:p>
    <w:p w:rsidR="000E0216" w:rsidRDefault="00290AC4">
      <w:pPr>
        <w:numPr>
          <w:ilvl w:val="0"/>
          <w:numId w:val="5"/>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Este proyecto es fundamental para garantizar el acceso a la justicia mediante un mecanismo moderno y efectivo. </w:t>
      </w:r>
    </w:p>
    <w:p w:rsidR="000E0216" w:rsidRDefault="00290AC4">
      <w:pPr>
        <w:numPr>
          <w:ilvl w:val="0"/>
          <w:numId w:val="5"/>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Sus normas se ajustan perfectamente a la carta política.</w:t>
      </w:r>
    </w:p>
    <w:p w:rsidR="000E0216" w:rsidRDefault="00290AC4">
      <w:pPr>
        <w:numPr>
          <w:ilvl w:val="0"/>
          <w:numId w:val="5"/>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Se solicita a los congresistas tener en cuenta que el derecho de acceso a internet, información, salud, comunicación, educación y también a la justicia está reconocido como un Derecho Humano por la ONU y por el Tribunal Europeo de los Derechos Humanos.</w:t>
      </w:r>
    </w:p>
    <w:p w:rsidR="000E0216" w:rsidRDefault="00290AC4">
      <w:pPr>
        <w:numPr>
          <w:ilvl w:val="0"/>
          <w:numId w:val="5"/>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El decreto 806 trajo enormes beneficios para el sistema de justicia. </w:t>
      </w:r>
    </w:p>
    <w:p w:rsidR="000E0216" w:rsidRDefault="000E0216">
      <w:pPr>
        <w:spacing w:after="0" w:line="240" w:lineRule="auto"/>
        <w:jc w:val="both"/>
        <w:rPr>
          <w:rFonts w:ascii="Arial" w:eastAsia="Arial" w:hAnsi="Arial" w:cs="Arial"/>
          <w:b/>
        </w:rPr>
      </w:pPr>
    </w:p>
    <w:p w:rsidR="000E0216" w:rsidRDefault="00290AC4">
      <w:pPr>
        <w:spacing w:after="0" w:line="240" w:lineRule="auto"/>
        <w:jc w:val="both"/>
        <w:rPr>
          <w:rFonts w:ascii="Arial" w:eastAsia="Arial" w:hAnsi="Arial" w:cs="Arial"/>
          <w:b/>
        </w:rPr>
      </w:pPr>
      <w:r>
        <w:rPr>
          <w:rFonts w:ascii="Arial" w:eastAsia="Arial" w:hAnsi="Arial" w:cs="Arial"/>
          <w:b/>
        </w:rPr>
        <w:t>NATTA NISIMBLAT (MAGISTRADO TRIBUNAL SUPERIOR DE ANTIOQUIA)</w:t>
      </w:r>
    </w:p>
    <w:p w:rsidR="000E0216" w:rsidRDefault="00290AC4">
      <w:pPr>
        <w:numPr>
          <w:ilvl w:val="0"/>
          <w:numId w:val="5"/>
        </w:num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color w:val="000000"/>
        </w:rPr>
        <w:t>El proyecto de ley que más se ajusta a las necesidades en razón del tiempo y la premura es el proyecto de ley 325 de 2022.</w:t>
      </w:r>
    </w:p>
    <w:p w:rsidR="000E0216" w:rsidRDefault="00290AC4">
      <w:pPr>
        <w:numPr>
          <w:ilvl w:val="0"/>
          <w:numId w:val="5"/>
        </w:num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color w:val="000000"/>
        </w:rPr>
        <w:t>Se ha detectado un aumento en la productividad de la actividad judicial, ha facilitado la gestión de los procesos.</w:t>
      </w:r>
    </w:p>
    <w:p w:rsidR="000E0216" w:rsidRDefault="00290AC4">
      <w:pPr>
        <w:numPr>
          <w:ilvl w:val="0"/>
          <w:numId w:val="5"/>
        </w:num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color w:val="000000"/>
        </w:rPr>
        <w:t xml:space="preserve">Para la rama judicial sería gravísimo volver a un sistema de justicia netamente presencial, porque el país ya se acostumbró al modelo de virtualidad. </w:t>
      </w:r>
    </w:p>
    <w:p w:rsidR="000E0216" w:rsidRDefault="000E0216">
      <w:pPr>
        <w:spacing w:after="0" w:line="240" w:lineRule="auto"/>
        <w:jc w:val="both"/>
        <w:rPr>
          <w:rFonts w:ascii="Arial" w:eastAsia="Arial" w:hAnsi="Arial" w:cs="Arial"/>
          <w:b/>
        </w:rPr>
      </w:pPr>
    </w:p>
    <w:p w:rsidR="000E0216" w:rsidRDefault="00290AC4">
      <w:pPr>
        <w:spacing w:after="0" w:line="240" w:lineRule="auto"/>
        <w:jc w:val="both"/>
        <w:rPr>
          <w:rFonts w:ascii="Arial" w:eastAsia="Arial" w:hAnsi="Arial" w:cs="Arial"/>
          <w:b/>
        </w:rPr>
      </w:pPr>
      <w:r>
        <w:rPr>
          <w:rFonts w:ascii="Arial" w:eastAsia="Arial" w:hAnsi="Arial" w:cs="Arial"/>
          <w:b/>
        </w:rPr>
        <w:t>WILSON RUIZ OREJUELA (MINISTRO DE JUSTICIA)</w:t>
      </w:r>
    </w:p>
    <w:p w:rsidR="000E0216" w:rsidRDefault="00290AC4">
      <w:pPr>
        <w:numPr>
          <w:ilvl w:val="0"/>
          <w:numId w:val="5"/>
        </w:num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color w:val="000000"/>
        </w:rPr>
        <w:t>Los usuarios, Abogados litigantes y operadores judiciales, se vieron en la necesidad de adaptarse y adecuar su comportamiento a la cultura de la digitalización.</w:t>
      </w:r>
    </w:p>
    <w:p w:rsidR="000E0216" w:rsidRDefault="00290AC4">
      <w:pPr>
        <w:numPr>
          <w:ilvl w:val="0"/>
          <w:numId w:val="5"/>
        </w:num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color w:val="000000"/>
        </w:rPr>
        <w:t xml:space="preserve">El decreto 806 y sus 16 artículos significaron la entrada de las tecnologías de la información y comunicaciones al sistema de justicia. </w:t>
      </w:r>
    </w:p>
    <w:p w:rsidR="000E0216" w:rsidRDefault="00290AC4">
      <w:pPr>
        <w:numPr>
          <w:ilvl w:val="0"/>
          <w:numId w:val="5"/>
        </w:num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color w:val="000000"/>
        </w:rPr>
        <w:t>El proyecto de ley 325 de 2022, resulta del esfuerzo conjunto de sus autores, Consejo Superior de la Judicatura, Corte Suprema de Justicia, Consejo de Estado, la nueva comisión de disciplina Judicial, la Fiscalía General de la Nación, Defensoría del Pueblo, Ministerio de Justicia y del Derecho, todas estas entidades responden al llamado para evitar el retroceso a todas las virtudes y herramientas que trajo consigo el decreto 806.</w:t>
      </w:r>
    </w:p>
    <w:p w:rsidR="000E0216" w:rsidRDefault="000E0216">
      <w:pPr>
        <w:spacing w:after="0" w:line="240" w:lineRule="auto"/>
        <w:jc w:val="both"/>
        <w:rPr>
          <w:rFonts w:ascii="Arial" w:eastAsia="Arial" w:hAnsi="Arial" w:cs="Arial"/>
          <w:b/>
        </w:rPr>
      </w:pPr>
    </w:p>
    <w:p w:rsidR="000E0216" w:rsidRDefault="00290AC4">
      <w:pPr>
        <w:spacing w:after="0" w:line="240" w:lineRule="auto"/>
        <w:jc w:val="both"/>
        <w:rPr>
          <w:rFonts w:ascii="Arial" w:eastAsia="Arial" w:hAnsi="Arial" w:cs="Arial"/>
          <w:b/>
        </w:rPr>
      </w:pPr>
      <w:r>
        <w:rPr>
          <w:rFonts w:ascii="Arial" w:eastAsia="Arial" w:hAnsi="Arial" w:cs="Arial"/>
          <w:b/>
        </w:rPr>
        <w:t>CARLOS PAZ RUSSI (PRESIDENTE CAPITULO VALLE DEL CAUCA INSTITUTO COLOMBIANO DE DERECHO PROCESAL)</w:t>
      </w:r>
    </w:p>
    <w:p w:rsidR="000E0216" w:rsidRDefault="00290AC4">
      <w:pPr>
        <w:numPr>
          <w:ilvl w:val="0"/>
          <w:numId w:val="5"/>
        </w:num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color w:val="000000"/>
        </w:rPr>
        <w:t>Los abogados litigantes, han obtenido una tranquilidad del justiciable que siente que tiene acceso a la justicia desde cualquier ciudad del país.</w:t>
      </w:r>
    </w:p>
    <w:p w:rsidR="000E0216" w:rsidRDefault="00290AC4">
      <w:pPr>
        <w:numPr>
          <w:ilvl w:val="0"/>
          <w:numId w:val="5"/>
        </w:num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color w:val="000000"/>
        </w:rPr>
        <w:t>El decreto 806 llego para tranquilidad del ciudadano, con el cual se garantiza el acceso a la justicia a través de la virtualidad.</w:t>
      </w:r>
    </w:p>
    <w:p w:rsidR="000E0216" w:rsidRDefault="00290AC4">
      <w:pPr>
        <w:numPr>
          <w:ilvl w:val="0"/>
          <w:numId w:val="5"/>
        </w:num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color w:val="000000"/>
        </w:rPr>
        <w:t>Solicita comedidamente la aprobación del proyecto 325.</w:t>
      </w:r>
    </w:p>
    <w:p w:rsidR="000E0216" w:rsidRDefault="000E0216">
      <w:pPr>
        <w:spacing w:after="0" w:line="240" w:lineRule="auto"/>
        <w:jc w:val="both"/>
        <w:rPr>
          <w:rFonts w:ascii="Arial" w:eastAsia="Arial" w:hAnsi="Arial" w:cs="Arial"/>
          <w:b/>
        </w:rPr>
      </w:pPr>
    </w:p>
    <w:p w:rsidR="000E0216" w:rsidRDefault="00290AC4">
      <w:pPr>
        <w:spacing w:after="0" w:line="240" w:lineRule="auto"/>
        <w:jc w:val="both"/>
        <w:rPr>
          <w:rFonts w:ascii="Arial" w:eastAsia="Arial" w:hAnsi="Arial" w:cs="Arial"/>
          <w:b/>
        </w:rPr>
      </w:pPr>
      <w:r>
        <w:rPr>
          <w:rFonts w:ascii="Arial" w:eastAsia="Arial" w:hAnsi="Arial" w:cs="Arial"/>
          <w:b/>
        </w:rPr>
        <w:t>RAMIRO BEJARANO (DIRECTOR DEL DEPARTAMENTO DE DERECHO PROCESAL DE LA UNIVERSIDAD EXTERNADO DE COLOMBIA)</w:t>
      </w:r>
    </w:p>
    <w:p w:rsidR="000E0216" w:rsidRDefault="00290AC4">
      <w:pPr>
        <w:numPr>
          <w:ilvl w:val="0"/>
          <w:numId w:val="5"/>
        </w:num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color w:val="000000"/>
        </w:rPr>
        <w:t>No se puede perder de vista que la corte declaro la constitucionalidad del decreto 806.</w:t>
      </w:r>
    </w:p>
    <w:p w:rsidR="000E0216" w:rsidRDefault="00290AC4">
      <w:pPr>
        <w:numPr>
          <w:ilvl w:val="0"/>
          <w:numId w:val="5"/>
        </w:num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color w:val="000000"/>
        </w:rPr>
        <w:t>Bondades del decreto 806 son innumerables, entre ellas que el ciudadano no tenga que esté autenticando poderes, no haga emplazamientos, pero sobretodo no hay abogado que diga que no se han agilizado todos los trámites judiciales.</w:t>
      </w:r>
    </w:p>
    <w:p w:rsidR="000E0216" w:rsidRDefault="00290AC4">
      <w:pPr>
        <w:numPr>
          <w:ilvl w:val="0"/>
          <w:numId w:val="5"/>
        </w:num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color w:val="000000"/>
        </w:rPr>
        <w:lastRenderedPageBreak/>
        <w:t xml:space="preserve">El proyecto de ley que conviene aprobar es el 325, para que se incorpore como legislación permanente el decreto 806 y no que se hagan unos remiendos que pueden generar tropiezos no solo en el trámite sino en su aplicación inmediata. </w:t>
      </w:r>
    </w:p>
    <w:p w:rsidR="000E0216" w:rsidRDefault="00290AC4">
      <w:pPr>
        <w:numPr>
          <w:ilvl w:val="0"/>
          <w:numId w:val="5"/>
        </w:num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color w:val="000000"/>
        </w:rPr>
        <w:t xml:space="preserve">Las pruebas que se están decretando en este momento, están pensadas para que se practiquen de manera virtual. </w:t>
      </w:r>
    </w:p>
    <w:p w:rsidR="000E0216" w:rsidRDefault="00290AC4">
      <w:pPr>
        <w:numPr>
          <w:ilvl w:val="0"/>
          <w:numId w:val="5"/>
        </w:num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color w:val="000000"/>
        </w:rPr>
        <w:t xml:space="preserve">Si no se prueba el proyecto de ley, lo que vamos a crear es un caos jurisprudencial en la práctica que no tiene sentido que se presente. </w:t>
      </w:r>
    </w:p>
    <w:p w:rsidR="000E0216" w:rsidRDefault="00290AC4">
      <w:pPr>
        <w:numPr>
          <w:ilvl w:val="0"/>
          <w:numId w:val="5"/>
        </w:num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color w:val="000000"/>
        </w:rPr>
        <w:t>El campesino hoy en día tiene más acceso al internet que a la facilidad de transportarse a las cabeceras municipales a asistir a las audiencias.</w:t>
      </w:r>
    </w:p>
    <w:p w:rsidR="000E0216" w:rsidRDefault="00290AC4">
      <w:pPr>
        <w:numPr>
          <w:ilvl w:val="0"/>
          <w:numId w:val="5"/>
        </w:num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color w:val="000000"/>
        </w:rPr>
        <w:t>Solicita que se apruebe de manera ágil el proyecto de ley 325.</w:t>
      </w:r>
    </w:p>
    <w:p w:rsidR="000E0216" w:rsidRDefault="00290AC4">
      <w:pPr>
        <w:numPr>
          <w:ilvl w:val="0"/>
          <w:numId w:val="5"/>
        </w:num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color w:val="000000"/>
        </w:rPr>
        <w:t xml:space="preserve">En tribunales internacionales, todo el trámite se realiza de manera virtual y a nadie se le ocurre decir que se está violando el principio de inmediación. </w:t>
      </w:r>
    </w:p>
    <w:p w:rsidR="000E0216" w:rsidRDefault="000E0216">
      <w:pPr>
        <w:spacing w:after="0" w:line="240" w:lineRule="auto"/>
        <w:jc w:val="both"/>
        <w:rPr>
          <w:rFonts w:ascii="Arial" w:eastAsia="Arial" w:hAnsi="Arial" w:cs="Arial"/>
          <w:b/>
        </w:rPr>
      </w:pPr>
    </w:p>
    <w:p w:rsidR="000E0216" w:rsidRDefault="00290AC4">
      <w:pPr>
        <w:spacing w:after="0" w:line="240" w:lineRule="auto"/>
        <w:jc w:val="both"/>
        <w:rPr>
          <w:rFonts w:ascii="Arial" w:eastAsia="Arial" w:hAnsi="Arial" w:cs="Arial"/>
          <w:b/>
        </w:rPr>
      </w:pPr>
      <w:r>
        <w:rPr>
          <w:rFonts w:ascii="Arial" w:eastAsia="Arial" w:hAnsi="Arial" w:cs="Arial"/>
          <w:b/>
        </w:rPr>
        <w:t>FRANCISCO BERNATE (PRESIDENTE COLEGIO DE ABOGADOS PENALISTAS DE COLOMBIA)</w:t>
      </w:r>
    </w:p>
    <w:p w:rsidR="000E0216" w:rsidRDefault="00290AC4">
      <w:pPr>
        <w:numPr>
          <w:ilvl w:val="0"/>
          <w:numId w:val="5"/>
        </w:num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color w:val="000000"/>
        </w:rPr>
        <w:t>Hablo en nombre de 4000 abogados que pertenecen al Colegio de Abogados Penalistas de Colombia, para solicitarle al congreso que se tramite de manera urgente este proyecto de ley.</w:t>
      </w:r>
    </w:p>
    <w:p w:rsidR="000E0216" w:rsidRDefault="00290AC4">
      <w:pPr>
        <w:numPr>
          <w:ilvl w:val="0"/>
          <w:numId w:val="5"/>
        </w:num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color w:val="000000"/>
        </w:rPr>
        <w:t>Se han abaratado los costos de la justicia.</w:t>
      </w:r>
    </w:p>
    <w:p w:rsidR="000E0216" w:rsidRDefault="00290AC4">
      <w:pPr>
        <w:numPr>
          <w:ilvl w:val="0"/>
          <w:numId w:val="5"/>
        </w:num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color w:val="000000"/>
        </w:rPr>
        <w:t xml:space="preserve">Se ha facilitado el acceso a la justicia, las personas que no tienen acceso a internet se pueden conectar a las audiencias desde las casas de justicia, desde las personerías municipales, incluso desde las instalaciones del palacio de justicia que lo permite. </w:t>
      </w:r>
    </w:p>
    <w:p w:rsidR="000E0216" w:rsidRDefault="00290AC4">
      <w:pPr>
        <w:numPr>
          <w:ilvl w:val="0"/>
          <w:numId w:val="5"/>
        </w:num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color w:val="000000"/>
        </w:rPr>
        <w:t xml:space="preserve">Todas las garantías procesales se verifican en las audiencias virtuales. </w:t>
      </w:r>
    </w:p>
    <w:p w:rsidR="000E0216" w:rsidRDefault="00290AC4">
      <w:pPr>
        <w:numPr>
          <w:ilvl w:val="0"/>
          <w:numId w:val="5"/>
        </w:num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color w:val="000000"/>
        </w:rPr>
        <w:t>Proponen que la virtualidad sea la regla general.</w:t>
      </w:r>
    </w:p>
    <w:p w:rsidR="000E0216" w:rsidRDefault="00290AC4">
      <w:pPr>
        <w:numPr>
          <w:ilvl w:val="0"/>
          <w:numId w:val="5"/>
        </w:num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color w:val="000000"/>
        </w:rPr>
        <w:t>La primera vez en la historia que se han unido todas las voces, con el fin de que se mantenga la virtualidad en la justicia.</w:t>
      </w:r>
    </w:p>
    <w:p w:rsidR="000E0216" w:rsidRDefault="00290AC4">
      <w:pPr>
        <w:numPr>
          <w:ilvl w:val="0"/>
          <w:numId w:val="5"/>
        </w:num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color w:val="000000"/>
        </w:rPr>
        <w:t>No existe un solo argumento para no aprobar este proyecto de ley.</w:t>
      </w:r>
    </w:p>
    <w:p w:rsidR="000E0216" w:rsidRDefault="00290AC4">
      <w:pPr>
        <w:numPr>
          <w:ilvl w:val="0"/>
          <w:numId w:val="5"/>
        </w:num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color w:val="000000"/>
        </w:rPr>
        <w:t>Reconocimiento especial al Viceministro Francisco Chaux y al Ministro Wilson Ruiz.</w:t>
      </w:r>
    </w:p>
    <w:p w:rsidR="000E0216" w:rsidRDefault="000E0216">
      <w:pPr>
        <w:spacing w:after="0" w:line="240" w:lineRule="auto"/>
        <w:jc w:val="both"/>
        <w:rPr>
          <w:rFonts w:ascii="Arial" w:eastAsia="Arial" w:hAnsi="Arial" w:cs="Arial"/>
          <w:b/>
        </w:rPr>
      </w:pPr>
    </w:p>
    <w:p w:rsidR="000E0216" w:rsidRDefault="00290AC4">
      <w:pPr>
        <w:spacing w:after="0" w:line="240" w:lineRule="auto"/>
        <w:jc w:val="both"/>
        <w:rPr>
          <w:rFonts w:ascii="Arial" w:eastAsia="Arial" w:hAnsi="Arial" w:cs="Arial"/>
          <w:b/>
        </w:rPr>
      </w:pPr>
      <w:r>
        <w:rPr>
          <w:rFonts w:ascii="Arial" w:eastAsia="Arial" w:hAnsi="Arial" w:cs="Arial"/>
          <w:b/>
        </w:rPr>
        <w:t>DIANA REMOLINA (CONSEJO SUPERIOR DE LA JUDICATURA)</w:t>
      </w:r>
    </w:p>
    <w:p w:rsidR="000E0216" w:rsidRDefault="00290AC4">
      <w:pPr>
        <w:numPr>
          <w:ilvl w:val="0"/>
          <w:numId w:val="5"/>
        </w:num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color w:val="000000"/>
        </w:rPr>
        <w:t>El Consejo Superior de la Judicatura suscribió el proyecto de ley con el Gobierno Nacional presentado con otras instituciones y coincide en el ánimo de mantener vigentes las normas del Decreto 806 que ha dado soporte el empleo de las herramientas virtuales en la administración de justicia, posición que coincide con lo plasmado en los 5 proyectos de ley que en este momento hacen trámite en el Congreso de la República.</w:t>
      </w:r>
    </w:p>
    <w:p w:rsidR="000E0216" w:rsidRDefault="00290AC4">
      <w:pPr>
        <w:numPr>
          <w:ilvl w:val="0"/>
          <w:numId w:val="5"/>
        </w:num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color w:val="000000"/>
        </w:rPr>
        <w:t>Esta posición coincide con la de la mayoría de jueces y funcionarios judiciales del país y la mayoría de abogados a los que les hemos consultado y coinciden en que las normas del 806 agilizaron la prestación del servicio de justicia y flexibilizaron la atención de los usuarios que acuden a la rama judicial.</w:t>
      </w:r>
    </w:p>
    <w:p w:rsidR="000E0216" w:rsidRDefault="00290AC4">
      <w:pPr>
        <w:numPr>
          <w:ilvl w:val="0"/>
          <w:numId w:val="5"/>
        </w:num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color w:val="000000"/>
        </w:rPr>
        <w:t xml:space="preserve">Esos mismos jueces, magistrados y abogados que han aplicado el decreto 806 en estos dos últimos años y que han evidenciado que en la mayoría de los casos se flexibiliza la atención judicial también nos hicieron caer en cuenta e identificaron algunos aspectos muy puntuales desde la práctica de esos dos años del decreto 806, que se impusieron formalidades innecesarias o que en lugar de facilitar el acceso a la justicia lo dificultaron, algunos otros aspectos que congestionaron algunas actuaciones secretariales en los despachos judiciales y algunos que en </w:t>
      </w:r>
      <w:r>
        <w:rPr>
          <w:rFonts w:ascii="Arial" w:eastAsia="Arial" w:hAnsi="Arial" w:cs="Arial"/>
          <w:color w:val="000000"/>
        </w:rPr>
        <w:lastRenderedPageBreak/>
        <w:t>términos de ellos generaron restricciones o limitaciones de las garantías procesales de las partes, que expongo:</w:t>
      </w:r>
    </w:p>
    <w:p w:rsidR="000E0216" w:rsidRDefault="00290AC4">
      <w:pPr>
        <w:numPr>
          <w:ilvl w:val="0"/>
          <w:numId w:val="5"/>
        </w:num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color w:val="000000"/>
        </w:rPr>
        <w:t>Uno de los mayores retos que genera la aplicación del decreto fue la precariedad de las herramientas tecnológicas en algunos lugares apartados, en donde no se cuenta con elementos de internet y de computadoras para las actuaciones judiciales, siendo una brecha importante que se debe superar, por lo cual se requiere una prestación del servicio de justicia flexible con el fin de que no se vulneren los derechos de estas personas que están en lugares remotos.</w:t>
      </w:r>
    </w:p>
    <w:p w:rsidR="000E0216" w:rsidRDefault="00290AC4">
      <w:pPr>
        <w:numPr>
          <w:ilvl w:val="0"/>
          <w:numId w:val="5"/>
        </w:num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color w:val="000000"/>
        </w:rPr>
        <w:t xml:space="preserve">Respecto de la práctica judicial y las tecnologías el correo electrónico institucional fue clave en el 2020 para la Rama Judicial porque nos permitió en el momento más complejo de la pandemia que los ciudadanos pudieran presentar tutelas, habeas corpus, solicitudes de audiencias penales y demandas judiciales, y hoy se continua con el uso de la herramienta del correo electrónico para establecer comunicación entre los ciudadanos y los funcionarios judiciales, sin embargo es evidente que no podemos mantener la Rama Judicial y el funcionamiento de la administración de justicia a través de correos electrónicos como el canal prevalente de comunicación, porque no es fácil que los abogados y los usuarios conozcan cada cuenta de los juzgados a los que se comunican, pese a que desde el 2020 se encuentran publicados en la página de la rama. </w:t>
      </w:r>
    </w:p>
    <w:p w:rsidR="000E0216" w:rsidRDefault="00290AC4">
      <w:pPr>
        <w:numPr>
          <w:ilvl w:val="0"/>
          <w:numId w:val="5"/>
        </w:num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color w:val="000000"/>
        </w:rPr>
        <w:t>Igualmente porque los ciudadanos no obtienen respuestas oportunas a sus solicitudes, lo que ocurre por la facilidad de la virtualidad de enviar mensajes de correo ha generado una recarga de trabajo en los despachos judiciales, tenemos casos de secretarias de tribunales que tienen en las bandejas de sus correos electrónicos 18.000 mensajes, que corresponden a solicitudes que envían los ciudadanos reiteradamente sobre el mismo tema, lo que se ha traducida en ineficiencia en los despachos judiciales que se comienzan a ver reflejados en la prestación del servicio de justicia.</w:t>
      </w:r>
    </w:p>
    <w:p w:rsidR="000E0216" w:rsidRDefault="00290AC4">
      <w:pPr>
        <w:numPr>
          <w:ilvl w:val="0"/>
          <w:numId w:val="5"/>
        </w:num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color w:val="000000"/>
        </w:rPr>
        <w:t>Los despachos judiciales tienen, hoy en día, sus expedientes digitales en plataformas y eso ha generado algunos inconvenientes en la gestión de la información y unas dificultades para darle acceso a los expedientes a los abogados y a las partes procesales, por lo cual el 60% de funcionarios que asisten a las sedes judiciales cubren esta imposibilidad de facilitar todos los expedientes por vía electrónica y de ahí la importancia de esta medida de atención en los despachos.</w:t>
      </w:r>
    </w:p>
    <w:p w:rsidR="000E0216" w:rsidRDefault="00290AC4">
      <w:pPr>
        <w:numPr>
          <w:ilvl w:val="0"/>
          <w:numId w:val="5"/>
        </w:num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color w:val="000000"/>
        </w:rPr>
        <w:t>Las audiencias virtuales se han garantizado y ha habido un crecimiento exponencial del desarrollo de las audiencias, en el 2019 hacíamos 22.900 audiencias aproximadamente y al finalizar el 2020 se hicieron 230.000. Pese a ese éxito el 38% de los jueces y magistrados y el 40% de litigantes que fueron encuestados encontraron mayores dificultades para valorar y controvertir las pruebas, cuando se realizan por medios virtuales. El 33% de los funcionarios judiciales identifican que por esta vía hay malas prácticas a la hora de las pruebas, como partes intervinientes que alegan que no se pueden conectar a las audiencias para evitar su realización, abogados que intentan guiar a los testigos, testigos que en el momento crítico del interrogatorio pierden la conexión, o testigos que recuperan la memoria después de que pierden la conexión y se vuelve a reanudar la audiencia.</w:t>
      </w:r>
    </w:p>
    <w:p w:rsidR="000E0216" w:rsidRDefault="00290AC4">
      <w:pPr>
        <w:numPr>
          <w:ilvl w:val="0"/>
          <w:numId w:val="5"/>
        </w:num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color w:val="000000"/>
        </w:rPr>
        <w:t>El 90% del total de los encuestados, esto es, jueces, magistrados de los tribunales de todo el país y abogados (7.500 Abogados) coinciden en que algunas audiencias se deban realizar de manera presencial por solicitud de las partes y si el juez así lo valore.</w:t>
      </w:r>
    </w:p>
    <w:p w:rsidR="000E0216" w:rsidRDefault="00290AC4">
      <w:pPr>
        <w:numPr>
          <w:ilvl w:val="0"/>
          <w:numId w:val="5"/>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lastRenderedPageBreak/>
        <w:t>La virtualidad debe continuar, pero debe ser flexible en los casos en que debe ser necesaria la presencialidad, así lo consideraron el 90% de los encuestados.</w:t>
      </w:r>
    </w:p>
    <w:p w:rsidR="000E0216" w:rsidRDefault="00290AC4">
      <w:pPr>
        <w:numPr>
          <w:ilvl w:val="0"/>
          <w:numId w:val="5"/>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En conclusión el decreto 806, fue un primer paso, pero se debe tener presente que no se trata de un escenario definitivo, actualmente nos encontramos usando unas herramientas, las que pudimos poner al alcance, que se están mejorando, pero también creo que debemos analizar si el ahorro de presupuesto, realizar más audiencias, recibir y contestar correos electrónicos, atender muchísimos más trámites judiciales, si eso se ha traducido en realmente un aumento de productividad de los despachos en la evacuación de los procesos judiciales, que son datos que aún no tenemos, y sobre todo en mejores decisiones judiciales, en donde la calidad de las decisiones sea mejor y eso se refleje en una mejor justicia para los ciudadanos.</w:t>
      </w:r>
    </w:p>
    <w:p w:rsidR="000E0216" w:rsidRDefault="00290AC4">
      <w:pPr>
        <w:numPr>
          <w:ilvl w:val="0"/>
          <w:numId w:val="5"/>
        </w:num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color w:val="000000"/>
        </w:rPr>
        <w:t xml:space="preserve">No sería deseable que el juez se vuelva un recuadro en una pantalla o que seamos una grabación de audio sin una cara frente al ciudadano. Es un deber que la administración de justicia siga haciendo presencia en los lugares más alejados del país y rescatar ese papel central que deben tener los jueces en la construcción del estado. </w:t>
      </w:r>
    </w:p>
    <w:p w:rsidR="000E0216" w:rsidRDefault="000E0216">
      <w:pPr>
        <w:spacing w:after="0" w:line="240" w:lineRule="auto"/>
        <w:jc w:val="both"/>
        <w:rPr>
          <w:rFonts w:ascii="Arial" w:eastAsia="Arial" w:hAnsi="Arial" w:cs="Arial"/>
          <w:b/>
        </w:rPr>
      </w:pPr>
    </w:p>
    <w:p w:rsidR="000E0216" w:rsidRDefault="00290AC4">
      <w:pPr>
        <w:spacing w:after="0" w:line="240" w:lineRule="auto"/>
        <w:jc w:val="both"/>
        <w:rPr>
          <w:rFonts w:ascii="Arial" w:eastAsia="Arial" w:hAnsi="Arial" w:cs="Arial"/>
          <w:b/>
        </w:rPr>
      </w:pPr>
      <w:r>
        <w:rPr>
          <w:rFonts w:ascii="Arial" w:eastAsia="Arial" w:hAnsi="Arial" w:cs="Arial"/>
          <w:b/>
        </w:rPr>
        <w:t>DIANA VELEZ (PRESIDENTA COMISION NACIONAL DE DISCIPLINA JUDICIAL)</w:t>
      </w:r>
    </w:p>
    <w:p w:rsidR="000E0216" w:rsidRDefault="00290AC4">
      <w:pPr>
        <w:numPr>
          <w:ilvl w:val="0"/>
          <w:numId w:val="5"/>
        </w:num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color w:val="000000"/>
        </w:rPr>
        <w:t>Han sido múltiples las ventajas que a traído la aplicación del decreto 806.</w:t>
      </w:r>
    </w:p>
    <w:p w:rsidR="000E0216" w:rsidRDefault="00290AC4">
      <w:pPr>
        <w:numPr>
          <w:ilvl w:val="0"/>
          <w:numId w:val="5"/>
        </w:num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color w:val="000000"/>
        </w:rPr>
        <w:t>Es una necesidad y se convierte casi en una obligación el uso de las tecnologías de la información en el desarrollo de los procesos judiciales.</w:t>
      </w:r>
    </w:p>
    <w:p w:rsidR="000E0216" w:rsidRDefault="00290AC4">
      <w:pPr>
        <w:numPr>
          <w:ilvl w:val="0"/>
          <w:numId w:val="5"/>
        </w:num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color w:val="000000"/>
        </w:rPr>
        <w:t>Se debe garantizar a todos los intervinientes e interesados los derechos que les corresponde como conglomerado social.</w:t>
      </w:r>
    </w:p>
    <w:p w:rsidR="000E0216" w:rsidRDefault="00290AC4">
      <w:pPr>
        <w:numPr>
          <w:ilvl w:val="0"/>
          <w:numId w:val="5"/>
        </w:num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color w:val="000000"/>
        </w:rPr>
        <w:t xml:space="preserve"> La celebración de las audiencias, notificaciones, comunicaciones y actuaciones judiciales a través de la virtualidad ayudara a que los índices de respuesta por parte de la rama judicial mejoren con eficiencia y eficacia y ayuda a que las personas tengan una relación más cercana con la administración de justicia.</w:t>
      </w:r>
    </w:p>
    <w:p w:rsidR="000E0216" w:rsidRDefault="000E0216">
      <w:pPr>
        <w:spacing w:after="0" w:line="240" w:lineRule="auto"/>
        <w:jc w:val="both"/>
        <w:rPr>
          <w:rFonts w:ascii="Arial" w:eastAsia="Arial" w:hAnsi="Arial" w:cs="Arial"/>
          <w:b/>
        </w:rPr>
      </w:pPr>
    </w:p>
    <w:p w:rsidR="000E0216" w:rsidRDefault="00290AC4">
      <w:pPr>
        <w:spacing w:after="0" w:line="240" w:lineRule="auto"/>
        <w:jc w:val="both"/>
        <w:rPr>
          <w:rFonts w:ascii="Arial" w:eastAsia="Arial" w:hAnsi="Arial" w:cs="Arial"/>
          <w:b/>
        </w:rPr>
      </w:pPr>
      <w:r>
        <w:rPr>
          <w:rFonts w:ascii="Arial" w:eastAsia="Arial" w:hAnsi="Arial" w:cs="Arial"/>
          <w:b/>
        </w:rPr>
        <w:t>MAURICIO RODRIGUEZ (MAGISTRADO COMISION NACIONAL DE DISCIPLINA)</w:t>
      </w:r>
    </w:p>
    <w:p w:rsidR="000E0216" w:rsidRDefault="00290AC4">
      <w:pPr>
        <w:numPr>
          <w:ilvl w:val="0"/>
          <w:numId w:val="5"/>
        </w:num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color w:val="000000"/>
        </w:rPr>
        <w:t>Necesidad inaplazable de establecer como legislación permanente el decreto 806.</w:t>
      </w:r>
    </w:p>
    <w:p w:rsidR="000E0216" w:rsidRDefault="00290AC4">
      <w:pPr>
        <w:numPr>
          <w:ilvl w:val="0"/>
          <w:numId w:val="5"/>
        </w:num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color w:val="000000"/>
        </w:rPr>
        <w:t>Es una decisión histórica y necesaria.</w:t>
      </w:r>
    </w:p>
    <w:p w:rsidR="000E0216" w:rsidRDefault="00290AC4">
      <w:pPr>
        <w:numPr>
          <w:ilvl w:val="0"/>
          <w:numId w:val="5"/>
        </w:num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color w:val="000000"/>
        </w:rPr>
        <w:t>Se ha facilitado el acceso a la justicia y ha sido un éxito.</w:t>
      </w:r>
    </w:p>
    <w:p w:rsidR="000E0216" w:rsidRDefault="00290AC4">
      <w:pPr>
        <w:numPr>
          <w:ilvl w:val="0"/>
          <w:numId w:val="5"/>
        </w:num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color w:val="000000"/>
        </w:rPr>
        <w:t xml:space="preserve">Ha facilitado los procedimientos y es un instrumento que ha generado una participación de todos los actores de la justicia y ha permitido que ese servicio esencial no se paralizara. </w:t>
      </w:r>
    </w:p>
    <w:p w:rsidR="000E0216" w:rsidRDefault="00290AC4">
      <w:pPr>
        <w:numPr>
          <w:ilvl w:val="0"/>
          <w:numId w:val="5"/>
        </w:num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color w:val="000000"/>
        </w:rPr>
        <w:t>Llamado respetuoso al congreso para que agilice el trámite legislativo y se apruebe este importante proyecto de ley.</w:t>
      </w:r>
    </w:p>
    <w:p w:rsidR="000E0216" w:rsidRDefault="000E0216">
      <w:pPr>
        <w:spacing w:after="0" w:line="240" w:lineRule="auto"/>
        <w:jc w:val="both"/>
        <w:rPr>
          <w:rFonts w:ascii="Arial" w:eastAsia="Arial" w:hAnsi="Arial" w:cs="Arial"/>
          <w:b/>
        </w:rPr>
      </w:pPr>
    </w:p>
    <w:p w:rsidR="000E0216" w:rsidRDefault="00290AC4">
      <w:pPr>
        <w:spacing w:after="0" w:line="240" w:lineRule="auto"/>
        <w:jc w:val="both"/>
        <w:rPr>
          <w:rFonts w:ascii="Arial" w:eastAsia="Arial" w:hAnsi="Arial" w:cs="Arial"/>
          <w:b/>
        </w:rPr>
      </w:pPr>
      <w:r>
        <w:rPr>
          <w:rFonts w:ascii="Arial" w:eastAsia="Arial" w:hAnsi="Arial" w:cs="Arial"/>
          <w:b/>
        </w:rPr>
        <w:t>DIANA TALERO (VICEPRESIDENTA INSTITUTO COLOMBIANO DERECHO CONCURSAL)</w:t>
      </w:r>
    </w:p>
    <w:p w:rsidR="000E0216" w:rsidRDefault="00290AC4">
      <w:pPr>
        <w:numPr>
          <w:ilvl w:val="0"/>
          <w:numId w:val="5"/>
        </w:num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color w:val="000000"/>
        </w:rPr>
        <w:t>Ventajas que trae el decreto 806 en las jurisdicciones entre ellas las que ejercer autoridades administrativas. Este decreto permite que ciertas actuaciones que requerían formalidades se vayan flexibilizando.</w:t>
      </w:r>
    </w:p>
    <w:p w:rsidR="000E0216" w:rsidRDefault="00290AC4">
      <w:pPr>
        <w:numPr>
          <w:ilvl w:val="0"/>
          <w:numId w:val="5"/>
        </w:num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color w:val="000000"/>
        </w:rPr>
        <w:t>Los costos de transacción en procedimientos especiales, se han visto reducidos y generan mayor posibilidad de salir adelante por ejemplo en procesos de insolvencia.</w:t>
      </w:r>
    </w:p>
    <w:p w:rsidR="000E0216" w:rsidRDefault="00290AC4">
      <w:pPr>
        <w:numPr>
          <w:ilvl w:val="0"/>
          <w:numId w:val="5"/>
        </w:num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color w:val="000000"/>
        </w:rPr>
        <w:t>Apoya la adopción del decreto 906 como legislación permanente.</w:t>
      </w:r>
    </w:p>
    <w:p w:rsidR="000E0216" w:rsidRDefault="000E0216">
      <w:pPr>
        <w:spacing w:after="0" w:line="240" w:lineRule="auto"/>
        <w:jc w:val="both"/>
        <w:rPr>
          <w:rFonts w:ascii="Arial" w:eastAsia="Arial" w:hAnsi="Arial" w:cs="Arial"/>
          <w:b/>
        </w:rPr>
      </w:pPr>
    </w:p>
    <w:p w:rsidR="000E0216" w:rsidRDefault="00290AC4">
      <w:pPr>
        <w:spacing w:after="0" w:line="240" w:lineRule="auto"/>
        <w:jc w:val="both"/>
        <w:rPr>
          <w:rFonts w:ascii="Arial" w:eastAsia="Arial" w:hAnsi="Arial" w:cs="Arial"/>
          <w:b/>
        </w:rPr>
      </w:pPr>
      <w:r>
        <w:rPr>
          <w:rFonts w:ascii="Arial" w:eastAsia="Arial" w:hAnsi="Arial" w:cs="Arial"/>
          <w:b/>
        </w:rPr>
        <w:lastRenderedPageBreak/>
        <w:t>GUILLERMO ROCHA – (ABOGADO LITIGANTE)</w:t>
      </w:r>
    </w:p>
    <w:p w:rsidR="000E0216" w:rsidRDefault="00290AC4">
      <w:pPr>
        <w:numPr>
          <w:ilvl w:val="0"/>
          <w:numId w:val="5"/>
        </w:num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color w:val="000000"/>
        </w:rPr>
        <w:t>El decreto 806 no es la palacea, la justicia digital llega atrasada por culpa de la pandemia. Sin embargo, la virtualidad facilito las cosas en algunos aspectos.</w:t>
      </w:r>
    </w:p>
    <w:p w:rsidR="000E0216" w:rsidRDefault="00290AC4">
      <w:pPr>
        <w:numPr>
          <w:ilvl w:val="0"/>
          <w:numId w:val="5"/>
        </w:num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color w:val="000000"/>
        </w:rPr>
        <w:t xml:space="preserve"> No es cierto en cuanto a que no haga falta la presencialidad, porque se está sacrificando la salud de los funcionarios como de los abogados litigantes (la casa no es el ligar de trabajo). </w:t>
      </w:r>
    </w:p>
    <w:p w:rsidR="000E0216" w:rsidRDefault="00290AC4">
      <w:pPr>
        <w:numPr>
          <w:ilvl w:val="0"/>
          <w:numId w:val="5"/>
        </w:num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color w:val="000000"/>
        </w:rPr>
        <w:t xml:space="preserve">Se está sacrificando la inmediación, el juez no puede ser la imagen de una pantalla. Se sacrifica la inmediación que requiere la justicia para ser justa. </w:t>
      </w:r>
    </w:p>
    <w:p w:rsidR="000E0216" w:rsidRDefault="00290AC4">
      <w:pPr>
        <w:numPr>
          <w:ilvl w:val="0"/>
          <w:numId w:val="5"/>
        </w:num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color w:val="000000"/>
        </w:rPr>
        <w:t>El decreto 806 paso por la corte como una legislación transitoria en un estado de excepción, pero la realidad es otra.</w:t>
      </w:r>
    </w:p>
    <w:p w:rsidR="000E0216" w:rsidRDefault="00290AC4">
      <w:pPr>
        <w:numPr>
          <w:ilvl w:val="0"/>
          <w:numId w:val="5"/>
        </w:num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color w:val="000000"/>
        </w:rPr>
        <w:t xml:space="preserve">Se está sepultando la inmediación, por ejemplo, hacer una inspección judicial mediante la virtualidad es nefasto. </w:t>
      </w:r>
    </w:p>
    <w:p w:rsidR="000E0216" w:rsidRDefault="000E0216">
      <w:pPr>
        <w:spacing w:after="0" w:line="240" w:lineRule="auto"/>
        <w:jc w:val="both"/>
        <w:rPr>
          <w:rFonts w:ascii="Arial" w:eastAsia="Arial" w:hAnsi="Arial" w:cs="Arial"/>
          <w:b/>
        </w:rPr>
      </w:pPr>
    </w:p>
    <w:p w:rsidR="000E0216" w:rsidRDefault="00290AC4">
      <w:pPr>
        <w:spacing w:after="0" w:line="240" w:lineRule="auto"/>
        <w:jc w:val="both"/>
        <w:rPr>
          <w:rFonts w:ascii="Arial" w:eastAsia="Arial" w:hAnsi="Arial" w:cs="Arial"/>
          <w:b/>
        </w:rPr>
      </w:pPr>
      <w:r>
        <w:rPr>
          <w:rFonts w:ascii="Arial" w:eastAsia="Arial" w:hAnsi="Arial" w:cs="Arial"/>
          <w:b/>
        </w:rPr>
        <w:t>HUGO ALEXANDER RIOS (PRESIDENTE TRIBUNAL DE BOGOTA)</w:t>
      </w:r>
    </w:p>
    <w:p w:rsidR="000E0216" w:rsidRDefault="00290AC4">
      <w:pPr>
        <w:numPr>
          <w:ilvl w:val="0"/>
          <w:numId w:val="5"/>
        </w:num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color w:val="000000"/>
        </w:rPr>
        <w:t>Solicita que se le dé tramite célere a este proyecto.</w:t>
      </w:r>
    </w:p>
    <w:p w:rsidR="000E0216" w:rsidRDefault="00290AC4">
      <w:pPr>
        <w:numPr>
          <w:ilvl w:val="0"/>
          <w:numId w:val="5"/>
        </w:num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color w:val="000000"/>
        </w:rPr>
        <w:t xml:space="preserve">Se debe aprobar el proyecto de ley 325 como esta planteado y posteriormente cada área le hará las modificaciones que corresponda. </w:t>
      </w:r>
    </w:p>
    <w:p w:rsidR="000E0216" w:rsidRDefault="000E0216">
      <w:pPr>
        <w:spacing w:after="0" w:line="240" w:lineRule="auto"/>
        <w:jc w:val="both"/>
        <w:rPr>
          <w:rFonts w:ascii="Arial" w:eastAsia="Arial" w:hAnsi="Arial" w:cs="Arial"/>
          <w:b/>
        </w:rPr>
      </w:pPr>
    </w:p>
    <w:p w:rsidR="000E0216" w:rsidRDefault="00290AC4">
      <w:pPr>
        <w:spacing w:after="0" w:line="240" w:lineRule="auto"/>
        <w:jc w:val="both"/>
        <w:rPr>
          <w:rFonts w:ascii="Arial" w:eastAsia="Arial" w:hAnsi="Arial" w:cs="Arial"/>
          <w:b/>
        </w:rPr>
      </w:pPr>
      <w:r>
        <w:rPr>
          <w:rFonts w:ascii="Arial" w:eastAsia="Arial" w:hAnsi="Arial" w:cs="Arial"/>
          <w:b/>
        </w:rPr>
        <w:t>GERARDO DUQUE – (ABOGADO LITIGANTE)</w:t>
      </w:r>
    </w:p>
    <w:p w:rsidR="000E0216" w:rsidRDefault="00290AC4">
      <w:pPr>
        <w:numPr>
          <w:ilvl w:val="0"/>
          <w:numId w:val="5"/>
        </w:num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color w:val="000000"/>
        </w:rPr>
        <w:t xml:space="preserve">Para los abogados litigantes es de suma importancia que se implemente de manera permanente el decreto 806. </w:t>
      </w:r>
    </w:p>
    <w:p w:rsidR="000E0216" w:rsidRDefault="00290AC4">
      <w:pPr>
        <w:numPr>
          <w:ilvl w:val="0"/>
          <w:numId w:val="5"/>
        </w:num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color w:val="000000"/>
        </w:rPr>
        <w:t xml:space="preserve">La virtualidad no resulta 100% eficaz si nosotros no tenemos las herramientas necesarias (acceso a la justicia) lo cual les pertenece a todos los actores. </w:t>
      </w:r>
    </w:p>
    <w:p w:rsidR="000E0216" w:rsidRDefault="00290AC4">
      <w:pPr>
        <w:numPr>
          <w:ilvl w:val="0"/>
          <w:numId w:val="5"/>
        </w:num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color w:val="000000"/>
        </w:rPr>
        <w:t>Se debe implementar una verdadera cobertura de internet en las regiones.</w:t>
      </w:r>
    </w:p>
    <w:p w:rsidR="000E0216" w:rsidRDefault="00290AC4">
      <w:pPr>
        <w:numPr>
          <w:ilvl w:val="0"/>
          <w:numId w:val="5"/>
        </w:num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color w:val="000000"/>
        </w:rPr>
        <w:t>Se deben realizar audiencias presenciales por ejemplo la audiencia de juicio oral.</w:t>
      </w:r>
    </w:p>
    <w:p w:rsidR="000E0216" w:rsidRDefault="000E0216">
      <w:pPr>
        <w:spacing w:after="0" w:line="240" w:lineRule="auto"/>
        <w:jc w:val="both"/>
        <w:rPr>
          <w:rFonts w:ascii="Arial" w:eastAsia="Arial" w:hAnsi="Arial" w:cs="Arial"/>
          <w:b/>
        </w:rPr>
      </w:pPr>
    </w:p>
    <w:p w:rsidR="000E0216" w:rsidRDefault="00290AC4">
      <w:pPr>
        <w:spacing w:after="0" w:line="240" w:lineRule="auto"/>
        <w:jc w:val="both"/>
        <w:rPr>
          <w:rFonts w:ascii="Arial" w:eastAsia="Arial" w:hAnsi="Arial" w:cs="Arial"/>
          <w:b/>
        </w:rPr>
      </w:pPr>
      <w:r>
        <w:rPr>
          <w:rFonts w:ascii="Arial" w:eastAsia="Arial" w:hAnsi="Arial" w:cs="Arial"/>
          <w:b/>
        </w:rPr>
        <w:t xml:space="preserve">AROLDO QUIROZ (PRESIDENTE CORTE SUPREMA DE JUSTICIA) </w:t>
      </w:r>
    </w:p>
    <w:p w:rsidR="000E0216" w:rsidRDefault="00290AC4">
      <w:pPr>
        <w:numPr>
          <w:ilvl w:val="0"/>
          <w:numId w:val="5"/>
        </w:num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color w:val="000000"/>
        </w:rPr>
        <w:t>Suscribió la presentación del proyecto de ley 325 de 2022.</w:t>
      </w:r>
    </w:p>
    <w:p w:rsidR="000E0216" w:rsidRDefault="00290AC4">
      <w:pPr>
        <w:numPr>
          <w:ilvl w:val="0"/>
          <w:numId w:val="5"/>
        </w:num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color w:val="000000"/>
        </w:rPr>
        <w:t xml:space="preserve">No se ha encontrado ninguna manifestación de usuarios en contra de la virtualidad. </w:t>
      </w:r>
    </w:p>
    <w:p w:rsidR="000E0216" w:rsidRDefault="00290AC4">
      <w:pPr>
        <w:numPr>
          <w:ilvl w:val="0"/>
          <w:numId w:val="5"/>
        </w:num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color w:val="000000"/>
        </w:rPr>
        <w:t>No se tiene en cuenta a quien se presta el servicio de justicia.</w:t>
      </w:r>
    </w:p>
    <w:p w:rsidR="000E0216" w:rsidRDefault="00290AC4">
      <w:pPr>
        <w:numPr>
          <w:ilvl w:val="0"/>
          <w:numId w:val="5"/>
        </w:num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color w:val="000000"/>
        </w:rPr>
        <w:t xml:space="preserve">La corte ya realizo el control de constitucionalidad al decreto 806, y resalta que la emergencia sigue vigente. </w:t>
      </w:r>
    </w:p>
    <w:p w:rsidR="000E0216" w:rsidRDefault="00290AC4">
      <w:pPr>
        <w:numPr>
          <w:ilvl w:val="0"/>
          <w:numId w:val="5"/>
        </w:num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color w:val="000000"/>
        </w:rPr>
        <w:t>El decreto tiene más bondades que dificultades, las cuales pueden ser superadas.</w:t>
      </w:r>
    </w:p>
    <w:p w:rsidR="000E0216" w:rsidRDefault="00290AC4">
      <w:pPr>
        <w:numPr>
          <w:ilvl w:val="0"/>
          <w:numId w:val="5"/>
        </w:num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color w:val="000000"/>
        </w:rPr>
        <w:t>El proyecto se debe mantener como se presentó porque los tiempos son cortos. Se han constituido mesas de trabajos lideradas por la corte suprema, con el fin de llegar a consensos y hacer convocatoria a todos los colegios de abogados y a todos aquellos que han venido trabajando y así, el próximo semestre se pueda presentar una verdadera reforma que permita hacer los ajustes necesarios no solo al decreto 906 sino también al código general del proceso.</w:t>
      </w:r>
    </w:p>
    <w:p w:rsidR="000E0216" w:rsidRDefault="00290AC4">
      <w:pPr>
        <w:numPr>
          <w:ilvl w:val="0"/>
          <w:numId w:val="5"/>
        </w:num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color w:val="000000"/>
        </w:rPr>
        <w:t>Se debe pensar en el usuario.</w:t>
      </w:r>
    </w:p>
    <w:p w:rsidR="000E0216" w:rsidRDefault="000E0216">
      <w:pPr>
        <w:spacing w:after="0" w:line="240" w:lineRule="auto"/>
        <w:jc w:val="both"/>
        <w:rPr>
          <w:rFonts w:ascii="Arial" w:eastAsia="Arial" w:hAnsi="Arial" w:cs="Arial"/>
          <w:b/>
        </w:rPr>
      </w:pPr>
    </w:p>
    <w:p w:rsidR="000E0216" w:rsidRDefault="00290AC4">
      <w:pPr>
        <w:spacing w:after="0" w:line="240" w:lineRule="auto"/>
        <w:jc w:val="both"/>
        <w:rPr>
          <w:rFonts w:ascii="Arial" w:eastAsia="Arial" w:hAnsi="Arial" w:cs="Arial"/>
          <w:b/>
        </w:rPr>
      </w:pPr>
      <w:r>
        <w:rPr>
          <w:rFonts w:ascii="Arial" w:eastAsia="Arial" w:hAnsi="Arial" w:cs="Arial"/>
          <w:b/>
        </w:rPr>
        <w:t>WERNER ZITZMANN – (MEDIOS DE COMUNICACIÓN Y PERIODISTA)</w:t>
      </w:r>
    </w:p>
    <w:p w:rsidR="000E0216" w:rsidRDefault="00290AC4">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La prensa ha sido parte fundamental de la publicidad de las actuaciones judiciales, de los edictos y emplazamientos y avisos legales que se requieren para que los procesos se adelanten con transparencia frente a quienes pudieran tener un interés procesal. </w:t>
      </w:r>
    </w:p>
    <w:p w:rsidR="000E0216" w:rsidRDefault="00290AC4">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Durante la pandemia los emplazamientos solo se podían hacer únicamente a través del registro nacional de personas emplazadas, pero en la práctica los jueces </w:t>
      </w:r>
      <w:r>
        <w:rPr>
          <w:rFonts w:ascii="Arial" w:eastAsia="Arial" w:hAnsi="Arial" w:cs="Arial"/>
          <w:color w:val="000000"/>
        </w:rPr>
        <w:lastRenderedPageBreak/>
        <w:t>siguieron decretando los emplazamientos a través de los diarios de amplia circulación nacional y por ende los avisos se siguieron publicando, lo cual demuestra que no somos ciento por ciento digitales aun, hay actuaciones y zonas del país donde la forma como la gente se informa de lo que ocurre sigue siendo la prensa, y queríamos llamarle la atención de que no obstante la importancia de que ojala lleguemos a esa digitalización del ciento por ciento, haya un periodo de transición en el cual seguirá siendo necesario que los avisos y publicidades alrededor de los procesos se siga haciendo a través de la prensa, por eso el termino únicamente que trae el decreto 806, puede restringir y puede ser no realista, por lo cual se sugiere un ajuste.</w:t>
      </w:r>
    </w:p>
    <w:p w:rsidR="000E0216" w:rsidRDefault="000E0216">
      <w:pPr>
        <w:spacing w:after="0" w:line="240" w:lineRule="auto"/>
        <w:jc w:val="both"/>
        <w:rPr>
          <w:rFonts w:ascii="Arial" w:eastAsia="Arial" w:hAnsi="Arial" w:cs="Arial"/>
          <w:b/>
        </w:rPr>
      </w:pPr>
    </w:p>
    <w:p w:rsidR="000E0216" w:rsidRDefault="00290AC4">
      <w:pPr>
        <w:spacing w:after="0" w:line="240" w:lineRule="auto"/>
        <w:jc w:val="both"/>
        <w:rPr>
          <w:rFonts w:ascii="Arial" w:eastAsia="Arial" w:hAnsi="Arial" w:cs="Arial"/>
          <w:b/>
        </w:rPr>
      </w:pPr>
      <w:r>
        <w:rPr>
          <w:rFonts w:ascii="Arial" w:eastAsia="Arial" w:hAnsi="Arial" w:cs="Arial"/>
          <w:b/>
        </w:rPr>
        <w:t>FERNANDO MANCERA (ASOCIACIÓN NACIONAL DE EMPRESARIOS DE COLOMBIA – ANDI)</w:t>
      </w:r>
    </w:p>
    <w:p w:rsidR="000E0216" w:rsidRDefault="00290AC4">
      <w:pPr>
        <w:numPr>
          <w:ilvl w:val="0"/>
          <w:numId w:val="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Queremos hacer claridad en dos asuntos, La Corporación Excelencia en la Justicia habla de una congestión judicial de alrededor del 41 y el 62 % con aproximadamente 1.200.000 procesos, y para la industria es relevante el tema de como facilitar la forma de hacer negocios, el Banco Mundial hace anualmente un estudio conocido como el Doing Business, en el cual Colombia a 2020 uno de los temas donde se ubica en los últimos escaños es el cumplimiento de obligaciones y se le preguntaba a los colaboradores en promedio cuanto demoraba un proceso desde que se radica hasta que se resuelve y contestaron que 1288 días o sea tres años o un poco más por cada proceso. Es por esto que los empresarios ven con buenos ojos esta iniciativa del 806, y por lo cual vamos a hacer comentarios puntuales en documento posición que radicaremos posteriormente. </w:t>
      </w:r>
    </w:p>
    <w:p w:rsidR="000E0216" w:rsidRDefault="000E0216">
      <w:pPr>
        <w:spacing w:after="0" w:line="240" w:lineRule="auto"/>
        <w:jc w:val="both"/>
        <w:rPr>
          <w:rFonts w:ascii="Arial" w:eastAsia="Arial" w:hAnsi="Arial" w:cs="Arial"/>
          <w:b/>
        </w:rPr>
      </w:pPr>
    </w:p>
    <w:p w:rsidR="000E0216" w:rsidRDefault="00290AC4">
      <w:pPr>
        <w:spacing w:after="0" w:line="240" w:lineRule="auto"/>
        <w:jc w:val="both"/>
        <w:rPr>
          <w:rFonts w:ascii="Arial" w:eastAsia="Arial" w:hAnsi="Arial" w:cs="Arial"/>
          <w:b/>
        </w:rPr>
      </w:pPr>
      <w:r>
        <w:rPr>
          <w:rFonts w:ascii="Arial" w:eastAsia="Arial" w:hAnsi="Arial" w:cs="Arial"/>
          <w:b/>
        </w:rPr>
        <w:t>ALBERTO SAMUEL YOHAI (CAMARA COLOMBIANA DE INFORMATICA Y TELECOMUNICACIONES)</w:t>
      </w:r>
    </w:p>
    <w:p w:rsidR="000E0216" w:rsidRDefault="00290AC4">
      <w:pPr>
        <w:numPr>
          <w:ilvl w:val="0"/>
          <w:numId w:val="5"/>
        </w:num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color w:val="000000"/>
        </w:rPr>
        <w:t>La transformación digital de la justicia genera importantes beneficios para el país. Permite la materialización de derechos fundamentales como el acceso a la administración de justicia y aumenta productividad de despachos y reduce costos asociados.</w:t>
      </w:r>
    </w:p>
    <w:p w:rsidR="000E0216" w:rsidRDefault="000E0216">
      <w:pPr>
        <w:spacing w:after="0" w:line="240" w:lineRule="auto"/>
        <w:jc w:val="both"/>
        <w:rPr>
          <w:rFonts w:ascii="Arial" w:eastAsia="Arial" w:hAnsi="Arial" w:cs="Arial"/>
          <w:b/>
        </w:rPr>
      </w:pPr>
    </w:p>
    <w:p w:rsidR="000E0216" w:rsidRDefault="00290AC4">
      <w:pPr>
        <w:spacing w:after="0" w:line="240" w:lineRule="auto"/>
        <w:jc w:val="both"/>
        <w:rPr>
          <w:rFonts w:ascii="Arial" w:eastAsia="Arial" w:hAnsi="Arial" w:cs="Arial"/>
          <w:b/>
        </w:rPr>
      </w:pPr>
      <w:r>
        <w:rPr>
          <w:rFonts w:ascii="Arial" w:eastAsia="Arial" w:hAnsi="Arial" w:cs="Arial"/>
          <w:b/>
        </w:rPr>
        <w:t>MARTHA CECILIA MORENO (PRESIDENTE CERTICAMARA DIGITAL)</w:t>
      </w:r>
    </w:p>
    <w:p w:rsidR="000E0216" w:rsidRDefault="00290AC4">
      <w:pPr>
        <w:numPr>
          <w:ilvl w:val="0"/>
          <w:numId w:val="5"/>
        </w:num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color w:val="000000"/>
        </w:rPr>
        <w:t xml:space="preserve">Colombia cuenta con mecanismos de certificación y seguridad desde el año de 1999 con la expedición y puesta en funcionamiento de la ley 527, que además dio origen a las entidades de certificación digital, pero en el análisis de estos proyectos de ley nos asiste una preocupación importante, porque no están incluidos los mecanismos de autenticación digital en el trámite de algunos de estos insumos. Este vacío no van a permitir avanzar como ustedes se lo están proponiendo y queremos dejarlo a consideración de ustedes pues son mecanismos de creación legal que se encuentran a disposición de todos y que van a evitar el fraude y la suplantación de personas y que van a darle a los jueces, a los legisladores y los colombianos usuarios del sistema judicial, a los abogados y las firmas de los abogados que se representan en estas instancias toda la seguridad y la confianza de su actuación en el trámite virtual ante la juridicidad total. </w:t>
      </w:r>
    </w:p>
    <w:p w:rsidR="000E0216" w:rsidRDefault="00290AC4">
      <w:pPr>
        <w:numPr>
          <w:ilvl w:val="0"/>
          <w:numId w:val="5"/>
        </w:num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color w:val="000000"/>
        </w:rPr>
        <w:t xml:space="preserve">Estos mecanismos son la introducción de la firma digital certificada en todas las providencias, autos y comunicaciones que le atribuye al documento firmado de manera automática y por disposición de la ley 527 los tres atributos más importantes: </w:t>
      </w:r>
      <w:r>
        <w:rPr>
          <w:rFonts w:ascii="Arial" w:eastAsia="Arial" w:hAnsi="Arial" w:cs="Arial"/>
          <w:color w:val="000000"/>
        </w:rPr>
        <w:lastRenderedPageBreak/>
        <w:t>el no repudio, la integridad y la autenticidad del documento y la inclusión del correo electrónico certificado que permita ser utilizado como mecanismo de prueba de las notificaciones o de los testimonios y de los documentos que tanto los ciudadanos como los jueces, en las dos vías, necesiten intercambiar. El correo electrónico certificado solo lo pueden certificar las entidades de certificación, ayuda a que la prueba se solidifique y a reducir de manera muy importante los costos que el sistema judicial tiene asociados a la utilización del correo certificado físico como tal y va a permitir la llegada en cualquier parte del país y en cualquier rincón y en cualquier medio que el ciudadano disponga de conectividad tanto de las sentencias, las decisiones, los autos, como de las copias de los documentos que las autoridades requieran.</w:t>
      </w:r>
    </w:p>
    <w:p w:rsidR="000E0216" w:rsidRDefault="000E0216">
      <w:pPr>
        <w:pBdr>
          <w:top w:val="nil"/>
          <w:left w:val="nil"/>
          <w:bottom w:val="nil"/>
          <w:right w:val="nil"/>
          <w:between w:val="nil"/>
        </w:pBdr>
        <w:spacing w:after="0" w:line="240" w:lineRule="auto"/>
        <w:jc w:val="both"/>
        <w:rPr>
          <w:rFonts w:ascii="Arial" w:eastAsia="Arial" w:hAnsi="Arial" w:cs="Arial"/>
          <w:b/>
          <w:color w:val="000000"/>
        </w:rPr>
      </w:pPr>
    </w:p>
    <w:p w:rsidR="000E0216" w:rsidRDefault="000E0216">
      <w:pPr>
        <w:spacing w:after="0" w:line="240" w:lineRule="auto"/>
        <w:jc w:val="both"/>
        <w:rPr>
          <w:rFonts w:ascii="Arial" w:eastAsia="Arial" w:hAnsi="Arial" w:cs="Arial"/>
          <w:b/>
        </w:rPr>
      </w:pPr>
    </w:p>
    <w:p w:rsidR="000E0216" w:rsidRDefault="00290AC4">
      <w:pPr>
        <w:numPr>
          <w:ilvl w:val="0"/>
          <w:numId w:val="6"/>
        </w:numPr>
        <w:pBdr>
          <w:top w:val="nil"/>
          <w:left w:val="nil"/>
          <w:bottom w:val="nil"/>
          <w:right w:val="nil"/>
          <w:between w:val="nil"/>
        </w:pBdr>
        <w:spacing w:after="0" w:line="240" w:lineRule="auto"/>
        <w:ind w:left="0" w:firstLine="0"/>
        <w:jc w:val="center"/>
        <w:rPr>
          <w:rFonts w:ascii="Arial" w:eastAsia="Arial" w:hAnsi="Arial" w:cs="Arial"/>
          <w:b/>
          <w:color w:val="000000"/>
        </w:rPr>
      </w:pPr>
      <w:r>
        <w:rPr>
          <w:rFonts w:ascii="Arial" w:eastAsia="Arial" w:hAnsi="Arial" w:cs="Arial"/>
          <w:b/>
          <w:color w:val="000000"/>
        </w:rPr>
        <w:t>OBJETO GENERAL DEL PROYECTO DE LEY</w:t>
      </w:r>
    </w:p>
    <w:p w:rsidR="000E0216" w:rsidRDefault="000E0216">
      <w:pPr>
        <w:spacing w:after="0" w:line="240" w:lineRule="auto"/>
        <w:jc w:val="both"/>
        <w:rPr>
          <w:rFonts w:ascii="Arial" w:eastAsia="Arial" w:hAnsi="Arial" w:cs="Arial"/>
        </w:rPr>
      </w:pPr>
    </w:p>
    <w:p w:rsidR="000E0216" w:rsidRDefault="00290AC4">
      <w:pPr>
        <w:spacing w:after="0" w:line="240" w:lineRule="auto"/>
        <w:jc w:val="both"/>
        <w:rPr>
          <w:rFonts w:ascii="Arial" w:eastAsia="Arial" w:hAnsi="Arial" w:cs="Arial"/>
        </w:rPr>
      </w:pPr>
      <w:r>
        <w:rPr>
          <w:rFonts w:ascii="Arial" w:eastAsia="Arial" w:hAnsi="Arial" w:cs="Arial"/>
        </w:rPr>
        <w:t>El Proyecto de Ley tiene como objetivo declarar la vigencia permanente del Decreto Legislativo 806 del 2020, “</w:t>
      </w:r>
      <w:r>
        <w:rPr>
          <w:rFonts w:ascii="Arial" w:eastAsia="Arial" w:hAnsi="Arial" w:cs="Arial"/>
          <w:i/>
        </w:rPr>
        <w:t>Por el cual se adoptan medidas para implementar las tecnologías de la información y las comunicaciones en las actuaciones judiciales, agilizar los procesos judiciales y flexibilizar la atención a los usuarios del servicio de justicia, en el marco del Estado de Emergencia Económica, Social y Ecológica</w:t>
      </w:r>
      <w:r>
        <w:rPr>
          <w:rFonts w:ascii="Arial" w:eastAsia="Arial" w:hAnsi="Arial" w:cs="Arial"/>
        </w:rPr>
        <w:t>”, expedido con ocasión de la crisis generada tras la pandemia, y con el fin de “</w:t>
      </w:r>
      <w:r>
        <w:rPr>
          <w:rFonts w:ascii="Arial" w:eastAsia="Arial" w:hAnsi="Arial" w:cs="Arial"/>
          <w:i/>
        </w:rPr>
        <w:t>implementar el uso de las tecnologías de la información y las comunicaciones en las actuaciones judiciales y agilizar el trámite de los procesos judiciales ante la jurisdicción ordinaria en las especialidades civil, laboral, familia, jurisdicción de lo contencioso administrativo, jurisdicción constitucional y disciplinaria, así como en las actuaciones de las autoridades administrativas que ejerzan funciones jurisdiccionales y en los procesos arbitrales”,</w:t>
      </w:r>
      <w:r>
        <w:rPr>
          <w:rFonts w:ascii="Arial" w:eastAsia="Arial" w:hAnsi="Arial" w:cs="Arial"/>
        </w:rPr>
        <w:t xml:space="preserve"> a más de </w:t>
      </w:r>
      <w:r>
        <w:rPr>
          <w:rFonts w:ascii="Arial" w:eastAsia="Arial" w:hAnsi="Arial" w:cs="Arial"/>
          <w:i/>
        </w:rPr>
        <w:t>“flexibilizar la atención a los usuarios del servicio de justicia y contribuir a la pronta reactivación de las actividades económicas que dependen de este”.</w:t>
      </w:r>
      <w:r>
        <w:rPr>
          <w:rFonts w:ascii="Arial" w:eastAsia="Arial" w:hAnsi="Arial" w:cs="Arial"/>
        </w:rPr>
        <w:t xml:space="preserve"> </w:t>
      </w:r>
    </w:p>
    <w:p w:rsidR="000E0216" w:rsidRDefault="000E0216">
      <w:pPr>
        <w:spacing w:after="0" w:line="240" w:lineRule="auto"/>
        <w:jc w:val="both"/>
        <w:rPr>
          <w:rFonts w:ascii="Arial" w:eastAsia="Arial" w:hAnsi="Arial" w:cs="Arial"/>
        </w:rPr>
      </w:pPr>
    </w:p>
    <w:p w:rsidR="000E0216" w:rsidRDefault="00290AC4">
      <w:pPr>
        <w:spacing w:after="0" w:line="240" w:lineRule="auto"/>
        <w:jc w:val="both"/>
        <w:rPr>
          <w:rFonts w:ascii="Arial" w:eastAsia="Arial" w:hAnsi="Arial" w:cs="Arial"/>
        </w:rPr>
      </w:pPr>
      <w:r>
        <w:rPr>
          <w:rFonts w:ascii="Arial" w:eastAsia="Arial" w:hAnsi="Arial" w:cs="Arial"/>
        </w:rPr>
        <w:t xml:space="preserve">Reconociendo las innumerables ventajas que para la transformación digital de la justicia devinieron tras la expedición e implementación de las disposiciones contenidas en el mencionado Decreto Legislativo, la presente iniciativa busca garantizar que se continúe impulsando el fortalecimiento y la utilización de los servicios digitales y de tecnología en la prestación de este servicio público esencial, pues la experiencia demostró con creces que la adaptabilidad del sistema a la actual era digital resultaba ser una necesidad.  </w:t>
      </w:r>
    </w:p>
    <w:p w:rsidR="000E0216" w:rsidRDefault="000E0216">
      <w:pPr>
        <w:spacing w:after="0" w:line="240" w:lineRule="auto"/>
        <w:jc w:val="both"/>
        <w:rPr>
          <w:rFonts w:ascii="Arial" w:eastAsia="Arial" w:hAnsi="Arial" w:cs="Arial"/>
        </w:rPr>
      </w:pPr>
    </w:p>
    <w:p w:rsidR="000E0216" w:rsidRDefault="000E0216">
      <w:pPr>
        <w:spacing w:after="0" w:line="240" w:lineRule="auto"/>
        <w:jc w:val="both"/>
        <w:rPr>
          <w:rFonts w:ascii="Arial" w:eastAsia="Arial" w:hAnsi="Arial" w:cs="Arial"/>
        </w:rPr>
      </w:pPr>
    </w:p>
    <w:p w:rsidR="00AC13D1" w:rsidRDefault="00AC13D1">
      <w:pPr>
        <w:spacing w:after="0" w:line="240" w:lineRule="auto"/>
        <w:jc w:val="both"/>
        <w:rPr>
          <w:rFonts w:ascii="Arial" w:eastAsia="Arial" w:hAnsi="Arial" w:cs="Arial"/>
        </w:rPr>
      </w:pPr>
    </w:p>
    <w:p w:rsidR="000E0216" w:rsidRDefault="00290AC4">
      <w:pPr>
        <w:numPr>
          <w:ilvl w:val="0"/>
          <w:numId w:val="6"/>
        </w:numPr>
        <w:pBdr>
          <w:top w:val="nil"/>
          <w:left w:val="nil"/>
          <w:bottom w:val="nil"/>
          <w:right w:val="nil"/>
          <w:between w:val="nil"/>
        </w:pBdr>
        <w:spacing w:after="0" w:line="240" w:lineRule="auto"/>
        <w:ind w:left="0" w:firstLine="0"/>
        <w:jc w:val="center"/>
        <w:rPr>
          <w:rFonts w:ascii="Arial" w:eastAsia="Arial" w:hAnsi="Arial" w:cs="Arial"/>
          <w:b/>
          <w:color w:val="000000"/>
        </w:rPr>
      </w:pPr>
      <w:r>
        <w:rPr>
          <w:rFonts w:ascii="Arial" w:eastAsia="Arial" w:hAnsi="Arial" w:cs="Arial"/>
          <w:b/>
          <w:color w:val="000000"/>
        </w:rPr>
        <w:t>ORIGEN DEL PROYECTO DE LEY</w:t>
      </w:r>
    </w:p>
    <w:p w:rsidR="000E0216" w:rsidRDefault="000E0216">
      <w:pPr>
        <w:spacing w:after="0" w:line="240" w:lineRule="auto"/>
        <w:jc w:val="both"/>
        <w:rPr>
          <w:rFonts w:ascii="Arial" w:eastAsia="Arial" w:hAnsi="Arial" w:cs="Arial"/>
        </w:rPr>
      </w:pPr>
    </w:p>
    <w:p w:rsidR="000E0216" w:rsidRDefault="00290AC4">
      <w:pPr>
        <w:spacing w:after="0" w:line="240" w:lineRule="auto"/>
        <w:jc w:val="both"/>
        <w:rPr>
          <w:rFonts w:ascii="Arial" w:eastAsia="Arial" w:hAnsi="Arial" w:cs="Arial"/>
        </w:rPr>
      </w:pPr>
      <w:r>
        <w:rPr>
          <w:rFonts w:ascii="Arial" w:eastAsia="Arial" w:hAnsi="Arial" w:cs="Arial"/>
        </w:rPr>
        <w:t>La transformación digital de la justicia ha sido un pilar fundamental de las diferentes iniciativas impulsadas por este Gobierno, el que ha buscado la aplicación de las tecnologías de la información y las comunicaciones para que la justicia se preste a través de un servicio digital, este cobijado por criterios de eficacia, eficiencia, oportunidad, accesibilidad, equidad, igualdad, autonomía, e independencia.</w:t>
      </w:r>
    </w:p>
    <w:p w:rsidR="000E0216" w:rsidRDefault="000E0216">
      <w:pPr>
        <w:spacing w:after="0" w:line="240" w:lineRule="auto"/>
        <w:jc w:val="both"/>
        <w:rPr>
          <w:rFonts w:ascii="Arial" w:eastAsia="Arial" w:hAnsi="Arial" w:cs="Arial"/>
        </w:rPr>
      </w:pPr>
    </w:p>
    <w:p w:rsidR="000E0216" w:rsidRDefault="00290AC4">
      <w:pPr>
        <w:spacing w:after="0" w:line="240" w:lineRule="auto"/>
        <w:jc w:val="both"/>
        <w:rPr>
          <w:rFonts w:ascii="Arial" w:eastAsia="Arial" w:hAnsi="Arial" w:cs="Arial"/>
        </w:rPr>
      </w:pPr>
      <w:r>
        <w:rPr>
          <w:rFonts w:ascii="Arial" w:eastAsia="Arial" w:hAnsi="Arial" w:cs="Arial"/>
        </w:rPr>
        <w:t xml:space="preserve">En consecuencia, el presente Proyecto de Ley, de origen gubernamental, obedece a la necesidad de evitar que la pérdida de vigencia de las disposiciones contenidas en el </w:t>
      </w:r>
      <w:r>
        <w:rPr>
          <w:rFonts w:ascii="Arial" w:eastAsia="Arial" w:hAnsi="Arial" w:cs="Arial"/>
        </w:rPr>
        <w:lastRenderedPageBreak/>
        <w:t xml:space="preserve">Decreto 806 del 2020, “Por el cual se adoptan medidas para implementar las tecnologías de la información y las comunicaciones en las actuaciones judiciales, agilizar los procesos judiciales y flexibilizar la atención a los usuarios del servicio de justicia, en el marco del Estado de Emergencia Económica, Social y Ecológica”, y la cual se materializa el 4 de junio próximo, genere un vacío normativo que traiga consigo un colapso de la administración de justicia, y con este el consecuente retroceso del país en la prestación del servicio. </w:t>
      </w:r>
    </w:p>
    <w:p w:rsidR="000E0216" w:rsidRDefault="000E0216">
      <w:pPr>
        <w:spacing w:after="0" w:line="240" w:lineRule="auto"/>
        <w:jc w:val="both"/>
        <w:rPr>
          <w:rFonts w:ascii="Arial" w:eastAsia="Arial" w:hAnsi="Arial" w:cs="Arial"/>
        </w:rPr>
      </w:pPr>
    </w:p>
    <w:p w:rsidR="000E0216" w:rsidRDefault="00290AC4">
      <w:pPr>
        <w:spacing w:after="0" w:line="240" w:lineRule="auto"/>
        <w:jc w:val="both"/>
        <w:rPr>
          <w:rFonts w:ascii="Arial" w:eastAsia="Arial" w:hAnsi="Arial" w:cs="Arial"/>
        </w:rPr>
      </w:pPr>
      <w:r>
        <w:rPr>
          <w:rFonts w:ascii="Arial" w:eastAsia="Arial" w:hAnsi="Arial" w:cs="Arial"/>
        </w:rPr>
        <w:t xml:space="preserve">Es por esta razón que, entendiendo que la administración de justicia adquiere el carácter de derecho fundamental y de servicio público esencial, y siendo conscientes de que dicho Decreto Legislativo solventó la crisis que respecto al mismo devino tras la declaratoria del Estado de Emergencia Económica, Social y Ecológica con ocasión de la pandemia, la iniciativa propone garantizar que se dé continuidad a la utilización de las tecnologías de la información y de las comunicaciones para facilitar y agilizar el acceso a la misma. </w:t>
      </w:r>
    </w:p>
    <w:p w:rsidR="000E0216" w:rsidRDefault="000E0216">
      <w:pPr>
        <w:spacing w:after="0" w:line="240" w:lineRule="auto"/>
        <w:jc w:val="both"/>
        <w:rPr>
          <w:rFonts w:ascii="Arial" w:eastAsia="Arial" w:hAnsi="Arial" w:cs="Arial"/>
        </w:rPr>
      </w:pPr>
    </w:p>
    <w:p w:rsidR="000E0216" w:rsidRDefault="00290AC4">
      <w:pPr>
        <w:spacing w:after="0" w:line="240" w:lineRule="auto"/>
        <w:jc w:val="both"/>
        <w:rPr>
          <w:rFonts w:ascii="Arial" w:eastAsia="Arial" w:hAnsi="Arial" w:cs="Arial"/>
        </w:rPr>
      </w:pPr>
      <w:r>
        <w:rPr>
          <w:rFonts w:ascii="Arial" w:eastAsia="Arial" w:hAnsi="Arial" w:cs="Arial"/>
        </w:rPr>
        <w:t>La transformación digital es una realidad mundial, y en esta medida las administraciones públicas en general, y la administración de justicia en particular, deben crear e implementar políticas que les permita evolucionar en esta era de globalización y modernización, y así responder a las nuevas demandas y necesidades de una ciudadanía que busca ver materializados sus derechos.</w:t>
      </w:r>
    </w:p>
    <w:p w:rsidR="000E0216" w:rsidRDefault="000E0216">
      <w:pPr>
        <w:spacing w:after="0" w:line="240" w:lineRule="auto"/>
        <w:jc w:val="both"/>
        <w:rPr>
          <w:rFonts w:ascii="Arial" w:eastAsia="Arial" w:hAnsi="Arial" w:cs="Arial"/>
        </w:rPr>
      </w:pPr>
    </w:p>
    <w:p w:rsidR="000E0216" w:rsidRDefault="000E0216">
      <w:pPr>
        <w:spacing w:after="0" w:line="240" w:lineRule="auto"/>
        <w:jc w:val="both"/>
        <w:rPr>
          <w:rFonts w:ascii="Arial" w:eastAsia="Arial" w:hAnsi="Arial" w:cs="Arial"/>
        </w:rPr>
      </w:pPr>
    </w:p>
    <w:p w:rsidR="000E0216" w:rsidRDefault="00290AC4">
      <w:pPr>
        <w:numPr>
          <w:ilvl w:val="0"/>
          <w:numId w:val="6"/>
        </w:numPr>
        <w:pBdr>
          <w:top w:val="nil"/>
          <w:left w:val="nil"/>
          <w:bottom w:val="nil"/>
          <w:right w:val="nil"/>
          <w:between w:val="nil"/>
        </w:pBdr>
        <w:spacing w:after="0" w:line="240" w:lineRule="auto"/>
        <w:ind w:left="0" w:firstLine="0"/>
        <w:jc w:val="center"/>
        <w:rPr>
          <w:rFonts w:ascii="Arial" w:eastAsia="Arial" w:hAnsi="Arial" w:cs="Arial"/>
          <w:b/>
          <w:color w:val="000000"/>
        </w:rPr>
      </w:pPr>
      <w:r>
        <w:rPr>
          <w:rFonts w:ascii="Arial" w:eastAsia="Arial" w:hAnsi="Arial" w:cs="Arial"/>
          <w:b/>
          <w:color w:val="000000"/>
        </w:rPr>
        <w:t>JUSTIFICACIÓN DEL PROYECTO DE LEY</w:t>
      </w:r>
    </w:p>
    <w:p w:rsidR="000E0216" w:rsidRDefault="000E0216">
      <w:pPr>
        <w:pBdr>
          <w:top w:val="nil"/>
          <w:left w:val="nil"/>
          <w:bottom w:val="nil"/>
          <w:right w:val="nil"/>
          <w:between w:val="nil"/>
        </w:pBdr>
        <w:spacing w:after="0" w:line="240" w:lineRule="auto"/>
        <w:jc w:val="both"/>
        <w:rPr>
          <w:rFonts w:ascii="Arial" w:eastAsia="Arial" w:hAnsi="Arial" w:cs="Arial"/>
          <w:b/>
          <w:color w:val="000000"/>
        </w:rPr>
      </w:pPr>
    </w:p>
    <w:p w:rsidR="000E0216" w:rsidRDefault="00290AC4">
      <w:pPr>
        <w:spacing w:after="0" w:line="240" w:lineRule="auto"/>
        <w:jc w:val="both"/>
        <w:rPr>
          <w:rFonts w:ascii="Arial" w:eastAsia="Arial" w:hAnsi="Arial" w:cs="Arial"/>
        </w:rPr>
      </w:pPr>
      <w:r>
        <w:rPr>
          <w:rFonts w:ascii="Arial" w:eastAsia="Arial" w:hAnsi="Arial" w:cs="Arial"/>
        </w:rPr>
        <w:t>En Colombia, en los últimos años, la justicia ha sido el centro de múltiples debates, por lo cual el tema judicial ha adquirido una importancia inusitada, como lo muestra el hecho de que la justicia ha sido uno de los ejes de muchas de las reformas políticas y constitucionales de los últimos veinte años</w:t>
      </w:r>
      <w:r>
        <w:rPr>
          <w:rFonts w:ascii="Arial" w:eastAsia="Arial" w:hAnsi="Arial" w:cs="Arial"/>
          <w:vertAlign w:val="superscript"/>
        </w:rPr>
        <w:footnoteReference w:id="1"/>
      </w:r>
      <w:r>
        <w:rPr>
          <w:rFonts w:ascii="Arial" w:eastAsia="Arial" w:hAnsi="Arial" w:cs="Arial"/>
        </w:rPr>
        <w:t xml:space="preserve">. </w:t>
      </w:r>
    </w:p>
    <w:p w:rsidR="000E0216" w:rsidRDefault="000E0216">
      <w:pPr>
        <w:spacing w:after="0" w:line="240" w:lineRule="auto"/>
        <w:jc w:val="both"/>
        <w:rPr>
          <w:rFonts w:ascii="Arial" w:eastAsia="Arial" w:hAnsi="Arial" w:cs="Arial"/>
        </w:rPr>
      </w:pPr>
    </w:p>
    <w:p w:rsidR="000E0216" w:rsidRDefault="00290AC4">
      <w:pPr>
        <w:spacing w:after="0" w:line="240" w:lineRule="auto"/>
        <w:jc w:val="both"/>
        <w:rPr>
          <w:rFonts w:ascii="Arial" w:eastAsia="Arial" w:hAnsi="Arial" w:cs="Arial"/>
        </w:rPr>
      </w:pPr>
      <w:r>
        <w:rPr>
          <w:rFonts w:ascii="Arial" w:eastAsia="Arial" w:hAnsi="Arial" w:cs="Arial"/>
        </w:rPr>
        <w:t>En punto de la transformación digital de la justicia, se ha perseguido incrementar la efectividad, la eficiencia y la transparencia del sistema para resolver los procesos judiciales, y responder a las necesidades jurídicas de los ciudadanos, ello teniendo en cuenta que los bienes y servicios públicos, particularmente el servicio de justicia, no son, ni pueden ser ajenos a las innovaciones de la era digital transversales a los distintos sectores sociales y económicos.</w:t>
      </w:r>
    </w:p>
    <w:p w:rsidR="000E0216" w:rsidRDefault="000E0216">
      <w:pPr>
        <w:spacing w:after="0" w:line="240" w:lineRule="auto"/>
        <w:jc w:val="both"/>
        <w:rPr>
          <w:rFonts w:ascii="Arial" w:eastAsia="Arial" w:hAnsi="Arial" w:cs="Arial"/>
        </w:rPr>
      </w:pPr>
    </w:p>
    <w:p w:rsidR="000E0216" w:rsidRDefault="00290AC4">
      <w:pPr>
        <w:spacing w:after="0" w:line="240" w:lineRule="auto"/>
        <w:jc w:val="both"/>
        <w:rPr>
          <w:rFonts w:ascii="Arial" w:eastAsia="Arial" w:hAnsi="Arial" w:cs="Arial"/>
        </w:rPr>
      </w:pPr>
      <w:r>
        <w:rPr>
          <w:rFonts w:ascii="Arial" w:eastAsia="Arial" w:hAnsi="Arial" w:cs="Arial"/>
        </w:rPr>
        <w:t xml:space="preserve">El paso de la presencialidad a la virtualidad, ha enfrentado favorablemente problemáticas que durante años han afectado la administración de justicia en nuestro país, como la congestión judicial, la mora judicial y las barreras de acceso, las que constituyen serias dificultades para que los ciudadanos encuentren soluciones efectivas y oportunas a sus conflictos. </w:t>
      </w:r>
    </w:p>
    <w:p w:rsidR="000E0216" w:rsidRDefault="000E0216">
      <w:pPr>
        <w:spacing w:after="0" w:line="240" w:lineRule="auto"/>
        <w:jc w:val="both"/>
        <w:rPr>
          <w:rFonts w:ascii="Arial" w:eastAsia="Arial" w:hAnsi="Arial" w:cs="Arial"/>
        </w:rPr>
      </w:pPr>
    </w:p>
    <w:p w:rsidR="000E0216" w:rsidRDefault="00290AC4">
      <w:pPr>
        <w:spacing w:after="0" w:line="240" w:lineRule="auto"/>
        <w:jc w:val="both"/>
        <w:rPr>
          <w:rFonts w:ascii="Arial" w:eastAsia="Arial" w:hAnsi="Arial" w:cs="Arial"/>
        </w:rPr>
      </w:pPr>
      <w:r>
        <w:rPr>
          <w:rFonts w:ascii="Arial" w:eastAsia="Arial" w:hAnsi="Arial" w:cs="Arial"/>
        </w:rPr>
        <w:t xml:space="preserve">En el marco de la declaratoria del Estado de Emergencia Económica, Social y Ecológica para conjurar la grave calamidad pública generada por la pandemia, los ciudadanos se vieron limitados en sus posibilidades de acudir a la justicia para reclamar sus derechos o dirimir controversias, y, de igual manera, los abogados litigantes y sus trabajadores, quienes </w:t>
      </w:r>
      <w:r>
        <w:rPr>
          <w:rFonts w:ascii="Arial" w:eastAsia="Arial" w:hAnsi="Arial" w:cs="Arial"/>
        </w:rPr>
        <w:lastRenderedPageBreak/>
        <w:t xml:space="preserve">no pudieron continuar con el ejercicio de su labor profesional, se vieron obligados a enfrentar una grave crisis económica. </w:t>
      </w:r>
    </w:p>
    <w:p w:rsidR="000E0216" w:rsidRDefault="000E0216">
      <w:pPr>
        <w:spacing w:after="0" w:line="240" w:lineRule="auto"/>
        <w:jc w:val="both"/>
        <w:rPr>
          <w:rFonts w:ascii="Arial" w:eastAsia="Arial" w:hAnsi="Arial" w:cs="Arial"/>
        </w:rPr>
      </w:pPr>
    </w:p>
    <w:p w:rsidR="000E0216" w:rsidRDefault="00290AC4">
      <w:pPr>
        <w:spacing w:after="0" w:line="240" w:lineRule="auto"/>
        <w:jc w:val="both"/>
        <w:rPr>
          <w:rFonts w:ascii="Arial" w:eastAsia="Arial" w:hAnsi="Arial" w:cs="Arial"/>
        </w:rPr>
      </w:pPr>
      <w:r>
        <w:rPr>
          <w:rFonts w:ascii="Arial" w:eastAsia="Arial" w:hAnsi="Arial" w:cs="Arial"/>
        </w:rPr>
        <w:t xml:space="preserve">En consecuencia, resultó latente la necesidad de tomar medidas para hacer frente a la crisis, garantizando la continuidad del servicio esencial de justicia, y la reactivación de la actividad de defensa jurídica de los abogados y litigantes. En este sentido, el Gobierno Nacional, en ejercicio de sus facultades, expidió el Decreto 806 de 2020, desarrollando una serie de reglas procesales de obligatorio cumplimiento para las autoridades judiciales y los sujetos procesales, de modo que las actuaciones propias de los trámites pudieran llevarse a cabo por medios virtuales. </w:t>
      </w:r>
    </w:p>
    <w:p w:rsidR="000E0216" w:rsidRDefault="000E0216">
      <w:pPr>
        <w:spacing w:after="0" w:line="240" w:lineRule="auto"/>
        <w:jc w:val="both"/>
        <w:rPr>
          <w:rFonts w:ascii="Arial" w:eastAsia="Arial" w:hAnsi="Arial" w:cs="Arial"/>
        </w:rPr>
      </w:pPr>
    </w:p>
    <w:p w:rsidR="000E0216" w:rsidRDefault="00290AC4">
      <w:pPr>
        <w:spacing w:after="0" w:line="240" w:lineRule="auto"/>
        <w:jc w:val="both"/>
        <w:rPr>
          <w:rFonts w:ascii="Arial" w:eastAsia="Arial" w:hAnsi="Arial" w:cs="Arial"/>
        </w:rPr>
      </w:pPr>
      <w:r>
        <w:rPr>
          <w:rFonts w:ascii="Arial" w:eastAsia="Arial" w:hAnsi="Arial" w:cs="Arial"/>
        </w:rPr>
        <w:t>Lo anterior teniendo en consideración a que, tal y como lo ha señalado la Honorable Corte Constitucional en las Sentencias C-365 de 2000, C-1149 de 2001, C-879 de 2003, C-326 de 2006, entre otras, "</w:t>
      </w:r>
      <w:r>
        <w:rPr>
          <w:rFonts w:ascii="Arial" w:eastAsia="Arial" w:hAnsi="Arial" w:cs="Arial"/>
          <w:i/>
        </w:rPr>
        <w:t>una de las actividades esenciales del funcionamiento del Estado Social de Derecho es la administración de justicia, [pues] su objetivo primordial consiste en preservarlos valores y garantías establecidos en la Constitución</w:t>
      </w:r>
      <w:r>
        <w:rPr>
          <w:rFonts w:ascii="Arial" w:eastAsia="Arial" w:hAnsi="Arial" w:cs="Arial"/>
        </w:rPr>
        <w:t xml:space="preserve">”. </w:t>
      </w:r>
    </w:p>
    <w:p w:rsidR="000E0216" w:rsidRDefault="000E0216">
      <w:pPr>
        <w:spacing w:after="0" w:line="240" w:lineRule="auto"/>
        <w:jc w:val="both"/>
        <w:rPr>
          <w:rFonts w:ascii="Arial" w:eastAsia="Arial" w:hAnsi="Arial" w:cs="Arial"/>
        </w:rPr>
      </w:pPr>
    </w:p>
    <w:p w:rsidR="000E0216" w:rsidRDefault="00290AC4">
      <w:pPr>
        <w:spacing w:after="0" w:line="240" w:lineRule="auto"/>
        <w:jc w:val="both"/>
        <w:rPr>
          <w:rFonts w:ascii="Arial" w:eastAsia="Arial" w:hAnsi="Arial" w:cs="Arial"/>
        </w:rPr>
      </w:pPr>
      <w:r>
        <w:rPr>
          <w:rFonts w:ascii="Arial" w:eastAsia="Arial" w:hAnsi="Arial" w:cs="Arial"/>
        </w:rPr>
        <w:t xml:space="preserve">El artículo 215 de la Constitución Política dispone que: </w:t>
      </w:r>
    </w:p>
    <w:p w:rsidR="000E0216" w:rsidRDefault="000E0216">
      <w:pPr>
        <w:spacing w:after="0" w:line="240" w:lineRule="auto"/>
        <w:jc w:val="both"/>
        <w:rPr>
          <w:rFonts w:ascii="Arial" w:eastAsia="Arial" w:hAnsi="Arial" w:cs="Arial"/>
          <w:i/>
        </w:rPr>
      </w:pPr>
    </w:p>
    <w:p w:rsidR="000E0216" w:rsidRDefault="00290AC4">
      <w:pPr>
        <w:spacing w:after="0" w:line="240" w:lineRule="auto"/>
        <w:jc w:val="both"/>
        <w:rPr>
          <w:rFonts w:ascii="Arial" w:eastAsia="Arial" w:hAnsi="Arial" w:cs="Arial"/>
          <w:i/>
        </w:rPr>
      </w:pPr>
      <w:r>
        <w:rPr>
          <w:rFonts w:ascii="Arial" w:eastAsia="Arial" w:hAnsi="Arial" w:cs="Arial"/>
          <w:i/>
        </w:rPr>
        <w:t>“Cuando sobrevengan hechos distintos de los previstos en los artículos 212 y 213 que perturben o amenacen perturbar en forma grave e inminente el orden económico, social y ecológico del país, o que constituyan grave calamidad pública, podrá el Presidente, con la firma de todos los ministros, declarar el Estado de Emergencia por períodos hasta de treinta días en cada caso, que sumados no podrán exceder de noventa días en el año calendario.</w:t>
      </w:r>
    </w:p>
    <w:p w:rsidR="000E0216" w:rsidRDefault="00290AC4">
      <w:pPr>
        <w:spacing w:after="0" w:line="240" w:lineRule="auto"/>
        <w:jc w:val="both"/>
        <w:rPr>
          <w:rFonts w:ascii="Arial" w:eastAsia="Arial" w:hAnsi="Arial" w:cs="Arial"/>
        </w:rPr>
      </w:pPr>
      <w:r>
        <w:rPr>
          <w:rFonts w:ascii="Arial" w:eastAsia="Arial" w:hAnsi="Arial" w:cs="Arial"/>
          <w:i/>
        </w:rPr>
        <w:t>Mediante tal declaración, que deberá ser motivada, podrá el Presidente, con la firma de todos los ministros, dictar decretos con fuerza de ley, destinados exclusivamente a conjurar la crisis y a impedir la extensión de sus efectos.</w:t>
      </w:r>
    </w:p>
    <w:p w:rsidR="000E0216" w:rsidRDefault="00290AC4">
      <w:pPr>
        <w:spacing w:after="0" w:line="240" w:lineRule="auto"/>
        <w:jc w:val="both"/>
        <w:rPr>
          <w:rFonts w:ascii="Arial" w:eastAsia="Arial" w:hAnsi="Arial" w:cs="Arial"/>
          <w:i/>
        </w:rPr>
      </w:pPr>
      <w:r>
        <w:rPr>
          <w:rFonts w:ascii="Arial" w:eastAsia="Arial" w:hAnsi="Arial" w:cs="Arial"/>
          <w:i/>
        </w:rPr>
        <w:t>(…)</w:t>
      </w:r>
    </w:p>
    <w:p w:rsidR="000E0216" w:rsidRDefault="000E0216">
      <w:pPr>
        <w:spacing w:after="0" w:line="240" w:lineRule="auto"/>
        <w:jc w:val="both"/>
        <w:rPr>
          <w:rFonts w:ascii="Arial" w:eastAsia="Arial" w:hAnsi="Arial" w:cs="Arial"/>
          <w:i/>
        </w:rPr>
      </w:pPr>
    </w:p>
    <w:p w:rsidR="000E0216" w:rsidRDefault="00290AC4">
      <w:pPr>
        <w:spacing w:after="0" w:line="240" w:lineRule="auto"/>
        <w:jc w:val="both"/>
        <w:rPr>
          <w:rFonts w:ascii="Arial" w:eastAsia="Arial" w:hAnsi="Arial" w:cs="Arial"/>
          <w:i/>
        </w:rPr>
      </w:pPr>
      <w:r>
        <w:rPr>
          <w:rFonts w:ascii="Arial" w:eastAsia="Arial" w:hAnsi="Arial" w:cs="Arial"/>
          <w:i/>
        </w:rPr>
        <w:t>El Congreso, durante el año siguiente a la declaratoria de la emergencia, podrá derogar, modificar o adicionar los decretos a que se refiere este artículo, en aquellas materias que ordinariamente son de iniciativa del Gobierno. En relación con aquellas que son de iniciativa de sus miembros, el Congreso podrá ejercer dichas atribuciones en todo tiempo”.</w:t>
      </w:r>
    </w:p>
    <w:p w:rsidR="000E0216" w:rsidRDefault="00290AC4">
      <w:pPr>
        <w:spacing w:after="0" w:line="240" w:lineRule="auto"/>
        <w:jc w:val="both"/>
        <w:rPr>
          <w:rFonts w:ascii="Arial" w:eastAsia="Arial" w:hAnsi="Arial" w:cs="Arial"/>
        </w:rPr>
      </w:pPr>
      <w:r>
        <w:rPr>
          <w:rFonts w:ascii="Arial" w:eastAsia="Arial" w:hAnsi="Arial" w:cs="Arial"/>
        </w:rPr>
        <w:t xml:space="preserve">De la misma manera, en el artículo 49 de la Ley 137 de 1994, “por la cual se reglamentan los estados de excepción en Colombia”, se dispone que: </w:t>
      </w:r>
    </w:p>
    <w:p w:rsidR="000E0216" w:rsidRDefault="000E0216">
      <w:pPr>
        <w:spacing w:after="0" w:line="240" w:lineRule="auto"/>
        <w:jc w:val="both"/>
        <w:rPr>
          <w:rFonts w:ascii="Arial" w:eastAsia="Arial" w:hAnsi="Arial" w:cs="Arial"/>
          <w:i/>
        </w:rPr>
      </w:pPr>
    </w:p>
    <w:p w:rsidR="000E0216" w:rsidRDefault="00290AC4">
      <w:pPr>
        <w:spacing w:after="0" w:line="240" w:lineRule="auto"/>
        <w:jc w:val="both"/>
        <w:rPr>
          <w:rFonts w:ascii="Arial" w:eastAsia="Arial" w:hAnsi="Arial" w:cs="Arial"/>
          <w:i/>
        </w:rPr>
      </w:pPr>
      <w:r>
        <w:rPr>
          <w:rFonts w:ascii="Arial" w:eastAsia="Arial" w:hAnsi="Arial" w:cs="Arial"/>
          <w:i/>
        </w:rPr>
        <w:t>“El Congreso podrá, durante el año siguiente a la declaratoria del Estado de Emergencia, reformar, derogar, o adicionar los decretos legislativos que dicte el Gobierno durante dicho Estado, en aquellas materias que ordinariamente son de iniciativa gubernamental.</w:t>
      </w:r>
    </w:p>
    <w:p w:rsidR="000E0216" w:rsidRDefault="000E0216">
      <w:pPr>
        <w:spacing w:after="0" w:line="240" w:lineRule="auto"/>
        <w:jc w:val="both"/>
        <w:rPr>
          <w:rFonts w:ascii="Arial" w:eastAsia="Arial" w:hAnsi="Arial" w:cs="Arial"/>
          <w:i/>
        </w:rPr>
      </w:pPr>
    </w:p>
    <w:p w:rsidR="000E0216" w:rsidRDefault="00290AC4">
      <w:pPr>
        <w:spacing w:after="0" w:line="240" w:lineRule="auto"/>
        <w:jc w:val="both"/>
        <w:rPr>
          <w:rFonts w:ascii="Arial" w:eastAsia="Arial" w:hAnsi="Arial" w:cs="Arial"/>
          <w:i/>
        </w:rPr>
      </w:pPr>
      <w:r>
        <w:rPr>
          <w:rFonts w:ascii="Arial" w:eastAsia="Arial" w:hAnsi="Arial" w:cs="Arial"/>
          <w:i/>
        </w:rPr>
        <w:t>También podrá, en cualquier momento, ejercer estas atribuciones en relación con las materias que sean de iniciativa de sus miembros”.</w:t>
      </w:r>
    </w:p>
    <w:p w:rsidR="000E0216" w:rsidRDefault="000E0216">
      <w:pPr>
        <w:spacing w:after="0" w:line="240" w:lineRule="auto"/>
        <w:jc w:val="both"/>
        <w:rPr>
          <w:rFonts w:ascii="Arial" w:eastAsia="Arial" w:hAnsi="Arial" w:cs="Arial"/>
          <w:i/>
        </w:rPr>
      </w:pPr>
    </w:p>
    <w:p w:rsidR="000E0216" w:rsidRDefault="00290AC4">
      <w:pPr>
        <w:spacing w:after="0" w:line="240" w:lineRule="auto"/>
        <w:jc w:val="both"/>
        <w:rPr>
          <w:rFonts w:ascii="Arial" w:eastAsia="Arial" w:hAnsi="Arial" w:cs="Arial"/>
        </w:rPr>
      </w:pPr>
      <w:r>
        <w:rPr>
          <w:rFonts w:ascii="Arial" w:eastAsia="Arial" w:hAnsi="Arial" w:cs="Arial"/>
        </w:rPr>
        <w:t xml:space="preserve">Aun cuando el Decreto Legislativo 806 de 2020 pierde vigencia el 4 de junio del año que avanza, tal y como es señalado en su artículo 16, lo cierto es que no resulta razonable el retroceso que para la administración de justicia supondría el dejar de dar aplicación a las disposiciones en él contenidas, las cuales funcionaron a tal punto que actualmente el uso de las tecnologías en los servicios de justicia, no es una utopía, es una realidad. </w:t>
      </w:r>
    </w:p>
    <w:p w:rsidR="000E0216" w:rsidRDefault="000E0216">
      <w:pPr>
        <w:spacing w:after="0" w:line="240" w:lineRule="auto"/>
        <w:jc w:val="both"/>
        <w:rPr>
          <w:rFonts w:ascii="Arial" w:eastAsia="Arial" w:hAnsi="Arial" w:cs="Arial"/>
        </w:rPr>
      </w:pPr>
    </w:p>
    <w:p w:rsidR="000E0216" w:rsidRDefault="00290AC4">
      <w:pPr>
        <w:spacing w:after="0" w:line="240" w:lineRule="auto"/>
        <w:jc w:val="both"/>
        <w:rPr>
          <w:rFonts w:ascii="Arial" w:eastAsia="Arial" w:hAnsi="Arial" w:cs="Arial"/>
        </w:rPr>
      </w:pPr>
      <w:r>
        <w:rPr>
          <w:rFonts w:ascii="Arial" w:eastAsia="Arial" w:hAnsi="Arial" w:cs="Arial"/>
        </w:rPr>
        <w:t xml:space="preserve">En aras de evitar la crisis que tal situación traería consigo, y de conformidad con lo dispuesto en las normas transcritas, se entiende que el Congreso de la República puede declarar su vigencia permanente, ello si se tiene en cuenta que el mismo no gira en torno a una materia de iniciativa gubernamental exclusiva. </w:t>
      </w:r>
    </w:p>
    <w:p w:rsidR="000E0216" w:rsidRDefault="000E0216">
      <w:pPr>
        <w:spacing w:after="0" w:line="240" w:lineRule="auto"/>
        <w:jc w:val="both"/>
        <w:rPr>
          <w:rFonts w:ascii="Arial" w:eastAsia="Arial" w:hAnsi="Arial" w:cs="Arial"/>
        </w:rPr>
      </w:pPr>
    </w:p>
    <w:p w:rsidR="000E0216" w:rsidRDefault="00290AC4">
      <w:pPr>
        <w:spacing w:after="0" w:line="240" w:lineRule="auto"/>
        <w:jc w:val="both"/>
        <w:rPr>
          <w:rFonts w:ascii="Arial" w:eastAsia="Arial" w:hAnsi="Arial" w:cs="Arial"/>
        </w:rPr>
      </w:pPr>
      <w:r>
        <w:rPr>
          <w:rFonts w:ascii="Arial" w:eastAsia="Arial" w:hAnsi="Arial" w:cs="Arial"/>
        </w:rPr>
        <w:t xml:space="preserve">A más de que, en Sentencia C-420 de 2020, la Corte Constitucional advirtió que las medidas adoptadas a través del Decreto Legislativo referenciado se ajustan a la Constitución, materializando los mandatos relacionados con </w:t>
      </w:r>
      <w:r>
        <w:rPr>
          <w:rFonts w:ascii="Arial" w:eastAsia="Arial" w:hAnsi="Arial" w:cs="Arial"/>
          <w:i/>
        </w:rPr>
        <w:t>“el acceso a la administración de justicia (arts. 2 y 229 de la Constitución), el principio de publicidad y el ejercicio del derecho al debido proceso (art. 29 de la Constitución)”,</w:t>
      </w:r>
      <w:r>
        <w:rPr>
          <w:rFonts w:ascii="Arial" w:eastAsia="Arial" w:hAnsi="Arial" w:cs="Arial"/>
        </w:rPr>
        <w:t xml:space="preserve"> máxime si se tiene en cuenta que estas reconocen la actual brecha tecnológica del país que en la actualidad impide que la prestación del servicio de justicia sea íntegramente virtual, admitiendo la presencialidad (Parágrafo del artículo 1). </w:t>
      </w:r>
    </w:p>
    <w:p w:rsidR="000E0216" w:rsidRDefault="000E0216">
      <w:pPr>
        <w:spacing w:after="0" w:line="240" w:lineRule="auto"/>
        <w:jc w:val="both"/>
        <w:rPr>
          <w:rFonts w:ascii="Arial" w:eastAsia="Arial" w:hAnsi="Arial" w:cs="Arial"/>
        </w:rPr>
      </w:pPr>
    </w:p>
    <w:p w:rsidR="000E0216" w:rsidRDefault="00290AC4">
      <w:pPr>
        <w:spacing w:after="0" w:line="240" w:lineRule="auto"/>
        <w:jc w:val="both"/>
        <w:rPr>
          <w:rFonts w:ascii="Arial" w:eastAsia="Arial" w:hAnsi="Arial" w:cs="Arial"/>
        </w:rPr>
      </w:pPr>
      <w:r>
        <w:rPr>
          <w:rFonts w:ascii="Arial" w:eastAsia="Arial" w:hAnsi="Arial" w:cs="Arial"/>
        </w:rPr>
        <w:t xml:space="preserve">Lo anterior supondría continuar materializando las externalidades positivas que derivan de los procesos de transformación tecnológica:  </w:t>
      </w:r>
    </w:p>
    <w:p w:rsidR="000E0216" w:rsidRDefault="000E0216">
      <w:pPr>
        <w:spacing w:after="0" w:line="240" w:lineRule="auto"/>
        <w:jc w:val="both"/>
        <w:rPr>
          <w:rFonts w:ascii="Arial" w:eastAsia="Arial" w:hAnsi="Arial" w:cs="Arial"/>
        </w:rPr>
      </w:pPr>
    </w:p>
    <w:p w:rsidR="000E0216" w:rsidRDefault="00290AC4">
      <w:pPr>
        <w:numPr>
          <w:ilvl w:val="0"/>
          <w:numId w:val="3"/>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Las tecnologías de la información permiten un uso más eficiente de los recursos puestos a disposición de los distintos actores que participan en la prestación del servicio de justicia.</w:t>
      </w:r>
    </w:p>
    <w:p w:rsidR="000E0216" w:rsidRDefault="00290AC4">
      <w:pPr>
        <w:numPr>
          <w:ilvl w:val="0"/>
          <w:numId w:val="3"/>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La optimización de los tiempos procesales, contribuyéndose así a dar celeridad a los trámites y a descongestionar la justicia.</w:t>
      </w:r>
    </w:p>
    <w:p w:rsidR="000E0216" w:rsidRDefault="00290AC4">
      <w:pPr>
        <w:numPr>
          <w:ilvl w:val="0"/>
          <w:numId w:val="3"/>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Mejorar la consistencia de las decisiones judiciales, a través de herramientas que permitan conocer de forma rápida y sucinta el precedente judicial respecto a casos similares.</w:t>
      </w:r>
    </w:p>
    <w:p w:rsidR="000E0216" w:rsidRDefault="00290AC4">
      <w:pPr>
        <w:numPr>
          <w:ilvl w:val="0"/>
          <w:numId w:val="3"/>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Aliviar la carga de trabajo de jueces, funcionarios y empleados judiciales, que permitan el mejor aprovechamiento del capital humano.</w:t>
      </w:r>
    </w:p>
    <w:p w:rsidR="000E0216" w:rsidRDefault="00290AC4">
      <w:pPr>
        <w:numPr>
          <w:ilvl w:val="0"/>
          <w:numId w:val="3"/>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Mejorar la accesibilidad de los servicios de justicia a los ciudadanos con perspectiva diferencial.</w:t>
      </w:r>
    </w:p>
    <w:p w:rsidR="000E0216" w:rsidRDefault="000E0216">
      <w:pPr>
        <w:spacing w:after="0" w:line="240" w:lineRule="auto"/>
        <w:jc w:val="both"/>
        <w:rPr>
          <w:rFonts w:ascii="Arial" w:eastAsia="Arial" w:hAnsi="Arial" w:cs="Arial"/>
        </w:rPr>
      </w:pPr>
    </w:p>
    <w:p w:rsidR="000E0216" w:rsidRDefault="00290AC4">
      <w:pPr>
        <w:spacing w:after="0" w:line="240" w:lineRule="auto"/>
        <w:jc w:val="both"/>
        <w:rPr>
          <w:rFonts w:ascii="Arial" w:eastAsia="Arial" w:hAnsi="Arial" w:cs="Arial"/>
        </w:rPr>
      </w:pPr>
      <w:r>
        <w:rPr>
          <w:rFonts w:ascii="Arial" w:eastAsia="Arial" w:hAnsi="Arial" w:cs="Arial"/>
        </w:rPr>
        <w:t xml:space="preserve">De esta manera se encuentra plena justificación en otorgar vigencia permanente al Decreto Legislativo 806 de 2020, máxime si se tiene en cuenta que el mismo se acompasa con las premisas del Código General del Proceso, y de la Ley Estatutaria de Administración de Justicia, la que se encuentra en trámite de revisión en la Corte Constitucional. Lo anterior sin perjuicio de que puedan surtirse los debates pertinentes para mejorar la legislación. </w:t>
      </w:r>
    </w:p>
    <w:p w:rsidR="000E0216" w:rsidRDefault="000E0216">
      <w:pPr>
        <w:spacing w:after="0" w:line="240" w:lineRule="auto"/>
        <w:jc w:val="both"/>
        <w:rPr>
          <w:rFonts w:ascii="Arial" w:eastAsia="Arial" w:hAnsi="Arial" w:cs="Arial"/>
        </w:rPr>
      </w:pPr>
    </w:p>
    <w:p w:rsidR="000E0216" w:rsidRDefault="00290AC4">
      <w:pPr>
        <w:spacing w:after="0" w:line="240" w:lineRule="auto"/>
        <w:jc w:val="both"/>
        <w:rPr>
          <w:rFonts w:ascii="Arial" w:eastAsia="Arial" w:hAnsi="Arial" w:cs="Arial"/>
          <w:b/>
        </w:rPr>
      </w:pPr>
      <w:r>
        <w:rPr>
          <w:rFonts w:ascii="Arial" w:eastAsia="Arial" w:hAnsi="Arial" w:cs="Arial"/>
          <w:b/>
        </w:rPr>
        <w:t>Conclusiones de la Comisión de Expertos para oportunidades de mejora del Decreto 806 de 2020.</w:t>
      </w:r>
    </w:p>
    <w:p w:rsidR="000E0216" w:rsidRDefault="000E0216">
      <w:pPr>
        <w:pBdr>
          <w:top w:val="nil"/>
          <w:left w:val="nil"/>
          <w:bottom w:val="nil"/>
          <w:right w:val="nil"/>
          <w:between w:val="nil"/>
        </w:pBdr>
        <w:spacing w:after="0" w:line="240" w:lineRule="auto"/>
        <w:ind w:left="720"/>
        <w:jc w:val="both"/>
        <w:rPr>
          <w:rFonts w:ascii="Arial" w:eastAsia="Arial" w:hAnsi="Arial" w:cs="Arial"/>
          <w:b/>
          <w:color w:val="000000"/>
          <w:highlight w:val="yellow"/>
        </w:rPr>
      </w:pPr>
    </w:p>
    <w:p w:rsidR="000E0216" w:rsidRDefault="00290AC4">
      <w:pPr>
        <w:spacing w:after="0" w:line="240" w:lineRule="auto"/>
        <w:jc w:val="both"/>
        <w:rPr>
          <w:rFonts w:ascii="Arial" w:eastAsia="Arial" w:hAnsi="Arial" w:cs="Arial"/>
        </w:rPr>
      </w:pPr>
      <w:r>
        <w:rPr>
          <w:rFonts w:ascii="Arial" w:eastAsia="Arial" w:hAnsi="Arial" w:cs="Arial"/>
        </w:rPr>
        <w:t>Mediante Resolución No. 0124 del 1° de febrero de 2022, modificada por la No. 0137 del 2 de febrero de 2022, el Ministro de Justicia y del Derecho creó Comisión de Expertos para la “</w:t>
      </w:r>
      <w:r>
        <w:rPr>
          <w:rFonts w:ascii="Arial" w:eastAsia="Arial" w:hAnsi="Arial" w:cs="Arial"/>
          <w:i/>
        </w:rPr>
        <w:t xml:space="preserve">revisión de la vigencia y oportunidades de mejoras de las disposiciones del Decreto Legislativo 806 de 2020”, </w:t>
      </w:r>
      <w:r>
        <w:rPr>
          <w:rFonts w:ascii="Arial" w:eastAsia="Arial" w:hAnsi="Arial" w:cs="Arial"/>
        </w:rPr>
        <w:t xml:space="preserve">la cual fue convocada para el día catorce (14) de febrero de dos mil veintidós (2022). </w:t>
      </w:r>
    </w:p>
    <w:p w:rsidR="000E0216" w:rsidRDefault="000E0216">
      <w:pPr>
        <w:spacing w:after="0" w:line="240" w:lineRule="auto"/>
        <w:jc w:val="both"/>
        <w:rPr>
          <w:rFonts w:ascii="Arial" w:eastAsia="Arial" w:hAnsi="Arial" w:cs="Arial"/>
        </w:rPr>
      </w:pPr>
    </w:p>
    <w:p w:rsidR="000E0216" w:rsidRDefault="00290AC4">
      <w:pPr>
        <w:spacing w:after="0" w:line="240" w:lineRule="auto"/>
        <w:jc w:val="both"/>
        <w:rPr>
          <w:rFonts w:ascii="Arial" w:eastAsia="Arial" w:hAnsi="Arial" w:cs="Arial"/>
        </w:rPr>
      </w:pPr>
      <w:r>
        <w:rPr>
          <w:rFonts w:ascii="Arial" w:eastAsia="Arial" w:hAnsi="Arial" w:cs="Arial"/>
        </w:rPr>
        <w:lastRenderedPageBreak/>
        <w:t xml:space="preserve">En tal fecha fue instalada la sesión, siendo la misma presidida por el Dr. Francisco José Chaux Donado, Viceministro de Promoción de la Justicia, fueron escuchados los aportes de todos los asistentes, llegándose por unanimidad a las siguientes conclusiones: </w:t>
      </w:r>
    </w:p>
    <w:p w:rsidR="000E0216" w:rsidRDefault="000E0216">
      <w:pPr>
        <w:spacing w:after="0" w:line="240" w:lineRule="auto"/>
        <w:jc w:val="both"/>
        <w:rPr>
          <w:rFonts w:ascii="Arial" w:eastAsia="Arial" w:hAnsi="Arial" w:cs="Arial"/>
        </w:rPr>
      </w:pPr>
    </w:p>
    <w:p w:rsidR="000E0216" w:rsidRDefault="00290AC4">
      <w:pPr>
        <w:numPr>
          <w:ilvl w:val="0"/>
          <w:numId w:val="3"/>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Teniendo en consideración las ventajas que trajo consigo el Decreto Legislativo 806 del 2020, “</w:t>
      </w:r>
      <w:r>
        <w:rPr>
          <w:rFonts w:ascii="Arial" w:eastAsia="Arial" w:hAnsi="Arial" w:cs="Arial"/>
          <w:i/>
          <w:color w:val="000000"/>
        </w:rPr>
        <w:t>Por el cual se adoptan medidas para implementar las tecnologías de la información y las comunicaciones en las actuaciones judiciales, agilizar los procesos judiciales y flexibilizar la atención a los usuarios del servicio de justicia, en el marco del Estado de Emergencia Económica, Social y Ecológica</w:t>
      </w:r>
      <w:r>
        <w:rPr>
          <w:rFonts w:ascii="Arial" w:eastAsia="Arial" w:hAnsi="Arial" w:cs="Arial"/>
          <w:color w:val="000000"/>
        </w:rPr>
        <w:t xml:space="preserve">”, y en aras de evitar un retroceso en la materia, así como un colapso en la administración de justicia, resulta mandatorio extender la vigencia del mismo. </w:t>
      </w:r>
    </w:p>
    <w:p w:rsidR="000E0216" w:rsidRDefault="000E0216">
      <w:pPr>
        <w:pBdr>
          <w:top w:val="nil"/>
          <w:left w:val="nil"/>
          <w:bottom w:val="nil"/>
          <w:right w:val="nil"/>
          <w:between w:val="nil"/>
        </w:pBdr>
        <w:spacing w:after="0" w:line="240" w:lineRule="auto"/>
        <w:ind w:left="720"/>
        <w:jc w:val="both"/>
        <w:rPr>
          <w:rFonts w:ascii="Arial" w:eastAsia="Arial" w:hAnsi="Arial" w:cs="Arial"/>
          <w:color w:val="000000"/>
        </w:rPr>
      </w:pPr>
    </w:p>
    <w:p w:rsidR="000E0216" w:rsidRDefault="00290AC4">
      <w:pPr>
        <w:numPr>
          <w:ilvl w:val="0"/>
          <w:numId w:val="3"/>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Lo anterior salvo en lo que respecta a lo dispuesto en los artículos 12 y 13 del Decreto Legislativo 806 del 2020, referentes a la </w:t>
      </w:r>
      <w:r>
        <w:rPr>
          <w:rFonts w:ascii="Arial" w:eastAsia="Arial" w:hAnsi="Arial" w:cs="Arial"/>
          <w:i/>
          <w:color w:val="000000"/>
        </w:rPr>
        <w:t>“resolución de excepciones en la jurisdicción de lo contencioso administrativo”</w:t>
      </w:r>
      <w:r>
        <w:rPr>
          <w:rFonts w:ascii="Arial" w:eastAsia="Arial" w:hAnsi="Arial" w:cs="Arial"/>
          <w:color w:val="000000"/>
        </w:rPr>
        <w:t xml:space="preserve"> y a la </w:t>
      </w:r>
      <w:r>
        <w:rPr>
          <w:rFonts w:ascii="Arial" w:eastAsia="Arial" w:hAnsi="Arial" w:cs="Arial"/>
          <w:i/>
          <w:color w:val="000000"/>
        </w:rPr>
        <w:t>“sentencia anticipada en lo contencioso administrativo”, respectivamente,</w:t>
      </w:r>
      <w:r>
        <w:rPr>
          <w:rFonts w:ascii="Arial" w:eastAsia="Arial" w:hAnsi="Arial" w:cs="Arial"/>
          <w:color w:val="000000"/>
        </w:rPr>
        <w:t xml:space="preserve"> puesto que los mismos han sido incluidos en el CPACA a través de la Ley 2080 de 2021. Tampoco se extenderá la vigencia del artículo 16, relativo a su “</w:t>
      </w:r>
      <w:r>
        <w:rPr>
          <w:rFonts w:ascii="Arial" w:eastAsia="Arial" w:hAnsi="Arial" w:cs="Arial"/>
          <w:i/>
          <w:color w:val="000000"/>
        </w:rPr>
        <w:t>vigencia y derogatoria”.</w:t>
      </w:r>
      <w:r>
        <w:rPr>
          <w:rFonts w:ascii="Arial" w:eastAsia="Arial" w:hAnsi="Arial" w:cs="Arial"/>
          <w:color w:val="000000"/>
        </w:rPr>
        <w:t xml:space="preserve"> </w:t>
      </w:r>
    </w:p>
    <w:p w:rsidR="000E0216" w:rsidRDefault="000E0216">
      <w:pPr>
        <w:pBdr>
          <w:top w:val="nil"/>
          <w:left w:val="nil"/>
          <w:bottom w:val="nil"/>
          <w:right w:val="nil"/>
          <w:between w:val="nil"/>
        </w:pBdr>
        <w:spacing w:after="0" w:line="240" w:lineRule="auto"/>
        <w:ind w:left="720"/>
        <w:rPr>
          <w:rFonts w:ascii="Arial" w:eastAsia="Arial" w:hAnsi="Arial" w:cs="Arial"/>
          <w:color w:val="000000"/>
        </w:rPr>
      </w:pPr>
    </w:p>
    <w:p w:rsidR="000E0216" w:rsidRDefault="00290AC4">
      <w:pPr>
        <w:numPr>
          <w:ilvl w:val="0"/>
          <w:numId w:val="3"/>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Aunado a lo anterior, se consideró que la aplicación de la norma debe extenderse a los trámites arbitrales y a los que adelanten las autoridades administrativas con funciones jurisdiccionales, así como a la especialidad penal de la jurisdicción ordinaria. Respecto a la justicia penal militar y la jurisdicción especial para la paz, deberán elevarse las consultas pertinentes ante las correspondientes autoridades. </w:t>
      </w:r>
      <w:r>
        <w:rPr>
          <w:rFonts w:ascii="Arial" w:eastAsia="Arial" w:hAnsi="Arial" w:cs="Arial"/>
          <w:color w:val="000000"/>
        </w:rPr>
        <w:br/>
      </w:r>
    </w:p>
    <w:p w:rsidR="000E0216" w:rsidRDefault="00290AC4">
      <w:pPr>
        <w:numPr>
          <w:ilvl w:val="0"/>
          <w:numId w:val="3"/>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Se concluye, además, la necesidad de continuar el trabajo de la Comisión de Expertos para estudiar a profundidad las problemáticas planteadas en la sesión, en aras de mejorar la legislación. </w:t>
      </w:r>
    </w:p>
    <w:p w:rsidR="000E0216" w:rsidRDefault="000E0216">
      <w:pPr>
        <w:spacing w:after="0" w:line="240" w:lineRule="auto"/>
        <w:jc w:val="both"/>
        <w:rPr>
          <w:rFonts w:ascii="Arial" w:eastAsia="Arial" w:hAnsi="Arial" w:cs="Arial"/>
        </w:rPr>
      </w:pPr>
    </w:p>
    <w:p w:rsidR="000E0216" w:rsidRDefault="000E0216">
      <w:pPr>
        <w:spacing w:after="0" w:line="240" w:lineRule="auto"/>
        <w:jc w:val="both"/>
        <w:rPr>
          <w:rFonts w:ascii="Arial" w:eastAsia="Arial" w:hAnsi="Arial" w:cs="Arial"/>
        </w:rPr>
      </w:pPr>
    </w:p>
    <w:p w:rsidR="000E0216" w:rsidRDefault="00290AC4">
      <w:pPr>
        <w:numPr>
          <w:ilvl w:val="0"/>
          <w:numId w:val="6"/>
        </w:numPr>
        <w:pBdr>
          <w:top w:val="nil"/>
          <w:left w:val="nil"/>
          <w:bottom w:val="nil"/>
          <w:right w:val="nil"/>
          <w:between w:val="nil"/>
        </w:pBdr>
        <w:spacing w:after="0" w:line="240" w:lineRule="auto"/>
        <w:ind w:left="0" w:firstLine="0"/>
        <w:jc w:val="center"/>
        <w:rPr>
          <w:rFonts w:ascii="Arial" w:eastAsia="Arial" w:hAnsi="Arial" w:cs="Arial"/>
          <w:b/>
          <w:color w:val="000000"/>
        </w:rPr>
      </w:pPr>
      <w:r>
        <w:rPr>
          <w:rFonts w:ascii="Arial" w:eastAsia="Arial" w:hAnsi="Arial" w:cs="Arial"/>
          <w:b/>
          <w:color w:val="000000"/>
        </w:rPr>
        <w:t>ANTECEDENTES Y FUNDAMENTOS DEL PROYECTO DE LEY</w:t>
      </w:r>
    </w:p>
    <w:p w:rsidR="000E0216" w:rsidRDefault="000E0216">
      <w:pPr>
        <w:pBdr>
          <w:top w:val="nil"/>
          <w:left w:val="nil"/>
          <w:bottom w:val="nil"/>
          <w:right w:val="nil"/>
          <w:between w:val="nil"/>
        </w:pBdr>
        <w:spacing w:after="0" w:line="240" w:lineRule="auto"/>
        <w:jc w:val="both"/>
        <w:rPr>
          <w:rFonts w:ascii="Arial" w:eastAsia="Arial" w:hAnsi="Arial" w:cs="Arial"/>
          <w:b/>
          <w:color w:val="000000"/>
        </w:rPr>
      </w:pPr>
    </w:p>
    <w:p w:rsidR="000E0216" w:rsidRDefault="00290AC4">
      <w:pPr>
        <w:spacing w:after="0" w:line="240" w:lineRule="auto"/>
        <w:jc w:val="both"/>
        <w:rPr>
          <w:rFonts w:ascii="Arial" w:eastAsia="Arial" w:hAnsi="Arial" w:cs="Arial"/>
          <w:b/>
          <w:u w:val="single"/>
        </w:rPr>
      </w:pPr>
      <w:r>
        <w:rPr>
          <w:rFonts w:ascii="Arial" w:eastAsia="Arial" w:hAnsi="Arial" w:cs="Arial"/>
          <w:b/>
          <w:u w:val="single"/>
        </w:rPr>
        <w:t>La transformación digital de la justicia</w:t>
      </w:r>
    </w:p>
    <w:p w:rsidR="000E0216" w:rsidRDefault="000E0216">
      <w:pPr>
        <w:spacing w:after="0" w:line="240" w:lineRule="auto"/>
        <w:jc w:val="both"/>
        <w:rPr>
          <w:rFonts w:ascii="Arial" w:eastAsia="Arial" w:hAnsi="Arial" w:cs="Arial"/>
        </w:rPr>
      </w:pPr>
    </w:p>
    <w:p w:rsidR="000E0216" w:rsidRDefault="00290AC4">
      <w:pPr>
        <w:spacing w:after="0" w:line="240" w:lineRule="auto"/>
        <w:jc w:val="both"/>
        <w:rPr>
          <w:rFonts w:ascii="Arial" w:eastAsia="Arial" w:hAnsi="Arial" w:cs="Arial"/>
        </w:rPr>
      </w:pPr>
      <w:r>
        <w:rPr>
          <w:rFonts w:ascii="Arial" w:eastAsia="Arial" w:hAnsi="Arial" w:cs="Arial"/>
        </w:rPr>
        <w:t>La transformación digital de la justicia en Colombia lleva un camino que inició su recorrido con el documento CONPES 2744 de 1994, “</w:t>
      </w:r>
      <w:r>
        <w:rPr>
          <w:rFonts w:ascii="Arial" w:eastAsia="Arial" w:hAnsi="Arial" w:cs="Arial"/>
          <w:i/>
        </w:rPr>
        <w:t>Justicia para la Gente</w:t>
      </w:r>
      <w:r>
        <w:rPr>
          <w:rFonts w:ascii="Arial" w:eastAsia="Arial" w:hAnsi="Arial" w:cs="Arial"/>
        </w:rPr>
        <w:t>”, que desde entonces diagnosticaba una situación de congestión judicial, y por tanto la necesidad de dar soluciones que involucraran las tecnologías de la información y de las comunicaciones, impulsándose entonces esquemas de digitalización. Ante tal panorama, desde el año 2011, con la expedición del CPACA, se inició un discurso encaminado a lograr la adopción del expediente digital electrónico en los niveles de información judicial y de justicia, escenario que permite dar el salto de la presencialidad a la era de la virtualidad.</w:t>
      </w:r>
    </w:p>
    <w:p w:rsidR="000E0216" w:rsidRDefault="000E0216">
      <w:pPr>
        <w:spacing w:after="0" w:line="240" w:lineRule="auto"/>
        <w:jc w:val="both"/>
        <w:rPr>
          <w:rFonts w:ascii="Arial" w:eastAsia="Arial" w:hAnsi="Arial" w:cs="Arial"/>
        </w:rPr>
      </w:pPr>
    </w:p>
    <w:p w:rsidR="000E0216" w:rsidRDefault="00290AC4">
      <w:pPr>
        <w:spacing w:after="0" w:line="240" w:lineRule="auto"/>
        <w:jc w:val="both"/>
        <w:rPr>
          <w:rFonts w:ascii="Arial" w:eastAsia="Arial" w:hAnsi="Arial" w:cs="Arial"/>
        </w:rPr>
      </w:pPr>
      <w:r>
        <w:rPr>
          <w:rFonts w:ascii="Arial" w:eastAsia="Arial" w:hAnsi="Arial" w:cs="Arial"/>
        </w:rPr>
        <w:t xml:space="preserve">Así pues, si bien la idea de la transformación digital de la justicia no irrumpió con ocasión de la pandemia mundial derivada del Covid-19, lo cierto es que ésta si aceleró el proceso de implementación, y con este el de inclusión y adaptación del sistema a las herramientas tecnológicas de las que disponemos hoy en día. </w:t>
      </w:r>
    </w:p>
    <w:p w:rsidR="000E0216" w:rsidRDefault="000E0216">
      <w:pPr>
        <w:spacing w:after="0" w:line="240" w:lineRule="auto"/>
        <w:jc w:val="both"/>
        <w:rPr>
          <w:rFonts w:ascii="Arial" w:eastAsia="Arial" w:hAnsi="Arial" w:cs="Arial"/>
        </w:rPr>
      </w:pPr>
    </w:p>
    <w:p w:rsidR="000E0216" w:rsidRDefault="00290AC4">
      <w:pPr>
        <w:spacing w:after="0" w:line="240" w:lineRule="auto"/>
        <w:jc w:val="both"/>
        <w:rPr>
          <w:rFonts w:ascii="Arial" w:eastAsia="Arial" w:hAnsi="Arial" w:cs="Arial"/>
        </w:rPr>
      </w:pPr>
      <w:r>
        <w:rPr>
          <w:rFonts w:ascii="Arial" w:eastAsia="Arial" w:hAnsi="Arial" w:cs="Arial"/>
        </w:rPr>
        <w:lastRenderedPageBreak/>
        <w:t xml:space="preserve">Tras la declaratoria del Estado de Emergencia Económica, Social y Ecológica por el Gobierno Nacional, los despachos judiciales se vieron en la obligación de suspender su funcionamiento, y, en consecuencia, el Consejo Superior de la Judicatura decretó la suspensión de términos, lo que generó una parálisis en la prestación del servicio. Este contexto excepcional nos obligó a adoptar medidas urgentes que permitieran conjurar la situación, y en este sentido desnudó la necesidad de hacer uso de las tecnologías de la información y de las comunicaciones en los sistemas judiciales, ello con el objetivo de reactivar la prestación del servicio. </w:t>
      </w:r>
    </w:p>
    <w:p w:rsidR="000E0216" w:rsidRDefault="000E0216">
      <w:pPr>
        <w:spacing w:after="0" w:line="240" w:lineRule="auto"/>
        <w:jc w:val="both"/>
        <w:rPr>
          <w:rFonts w:ascii="Arial" w:eastAsia="Arial" w:hAnsi="Arial" w:cs="Arial"/>
        </w:rPr>
      </w:pPr>
    </w:p>
    <w:p w:rsidR="000E0216" w:rsidRDefault="00290AC4">
      <w:pPr>
        <w:spacing w:after="0" w:line="240" w:lineRule="auto"/>
        <w:jc w:val="both"/>
        <w:rPr>
          <w:rFonts w:ascii="Arial" w:eastAsia="Arial" w:hAnsi="Arial" w:cs="Arial"/>
        </w:rPr>
      </w:pPr>
      <w:r>
        <w:rPr>
          <w:rFonts w:ascii="Arial" w:eastAsia="Arial" w:hAnsi="Arial" w:cs="Arial"/>
        </w:rPr>
        <w:t xml:space="preserve">El proceso de modernización del sector justicia parecía ser una utopía lejana; sin embargo, la crisis generada por la pandemia obligó a servidores judiciales y a abogados litigantes a emprender una digitalización a marchas forzadas, demostrándonos que sin lugar a dudas este resulta ser una prioridad nacional. </w:t>
      </w:r>
    </w:p>
    <w:p w:rsidR="000E0216" w:rsidRDefault="000E0216">
      <w:pPr>
        <w:spacing w:after="0" w:line="240" w:lineRule="auto"/>
        <w:jc w:val="both"/>
        <w:rPr>
          <w:rFonts w:ascii="Arial" w:eastAsia="Arial" w:hAnsi="Arial" w:cs="Arial"/>
        </w:rPr>
      </w:pPr>
    </w:p>
    <w:p w:rsidR="000E0216" w:rsidRDefault="00290AC4">
      <w:pPr>
        <w:spacing w:after="0" w:line="240" w:lineRule="auto"/>
        <w:jc w:val="both"/>
        <w:rPr>
          <w:rFonts w:ascii="Arial" w:eastAsia="Arial" w:hAnsi="Arial" w:cs="Arial"/>
          <w:b/>
          <w:u w:val="single"/>
        </w:rPr>
      </w:pPr>
      <w:r>
        <w:rPr>
          <w:rFonts w:ascii="Arial" w:eastAsia="Arial" w:hAnsi="Arial" w:cs="Arial"/>
          <w:b/>
          <w:u w:val="single"/>
        </w:rPr>
        <w:t>Decreto Legislativo 806 del 2020</w:t>
      </w:r>
    </w:p>
    <w:p w:rsidR="000E0216" w:rsidRDefault="000E0216">
      <w:pPr>
        <w:spacing w:after="0" w:line="240" w:lineRule="auto"/>
        <w:jc w:val="both"/>
        <w:rPr>
          <w:rFonts w:ascii="Arial" w:eastAsia="Arial" w:hAnsi="Arial" w:cs="Arial"/>
        </w:rPr>
      </w:pPr>
    </w:p>
    <w:p w:rsidR="000E0216" w:rsidRDefault="00290AC4">
      <w:pPr>
        <w:spacing w:after="0" w:line="240" w:lineRule="auto"/>
        <w:jc w:val="both"/>
        <w:rPr>
          <w:rFonts w:ascii="Arial" w:eastAsia="Arial" w:hAnsi="Arial" w:cs="Arial"/>
        </w:rPr>
      </w:pPr>
      <w:r>
        <w:rPr>
          <w:rFonts w:ascii="Arial" w:eastAsia="Arial" w:hAnsi="Arial" w:cs="Arial"/>
        </w:rPr>
        <w:t>Es así como el Gobierno, en aras de superar la contingencia, y atendiendo a las facultades que le reconoce la Constitución en el marco de un estado de excepción para dar respuesta a la gravedad de los hechos que causan la crisis, expidió el Decreto Legislativo 806 del 2020, “</w:t>
      </w:r>
      <w:r>
        <w:rPr>
          <w:rFonts w:ascii="Arial" w:eastAsia="Arial" w:hAnsi="Arial" w:cs="Arial"/>
          <w:i/>
        </w:rPr>
        <w:t>Por el cual se adoptan medidas para implementar las tecnologías de la información y las comunicaciones en las actuaciones judiciales, agilizar los procesos judiciales y flexibilizar la atención a los usuarios del servicio de justicia, en el marco del Estado de Emergencia Económica, Social y Ecológica</w:t>
      </w:r>
      <w:r>
        <w:rPr>
          <w:rFonts w:ascii="Arial" w:eastAsia="Arial" w:hAnsi="Arial" w:cs="Arial"/>
        </w:rPr>
        <w:t>”, con el fin de “</w:t>
      </w:r>
      <w:r>
        <w:rPr>
          <w:rFonts w:ascii="Arial" w:eastAsia="Arial" w:hAnsi="Arial" w:cs="Arial"/>
          <w:i/>
        </w:rPr>
        <w:t>implementar el uso de las tecnologías de la información y las comunicaciones en las actuaciones judiciales y agilizar el trámite de los procesos judiciales ante la jurisdicción ordinaria en las especialidades civil, laboral, familia, jurisdicción de lo contencioso administrativo, jurisdicción constitucional y disciplinaria, así como en las actuaciones de las autoridades administrativas que ejerzan funciones jurisdiccionales y en los procesos arbitrales”,</w:t>
      </w:r>
      <w:r>
        <w:rPr>
          <w:rFonts w:ascii="Arial" w:eastAsia="Arial" w:hAnsi="Arial" w:cs="Arial"/>
        </w:rPr>
        <w:t xml:space="preserve"> a más de </w:t>
      </w:r>
      <w:r>
        <w:rPr>
          <w:rFonts w:ascii="Arial" w:eastAsia="Arial" w:hAnsi="Arial" w:cs="Arial"/>
          <w:i/>
        </w:rPr>
        <w:t>“flexibilizar la atención a los usuarios del servicio de justicia y contribuir a la pronta reactivación de las actividades económicas que dependen de este”.</w:t>
      </w:r>
      <w:r>
        <w:rPr>
          <w:rFonts w:ascii="Arial" w:eastAsia="Arial" w:hAnsi="Arial" w:cs="Arial"/>
        </w:rPr>
        <w:t xml:space="preserve"> </w:t>
      </w:r>
    </w:p>
    <w:p w:rsidR="000E0216" w:rsidRDefault="000E0216">
      <w:pPr>
        <w:spacing w:after="0" w:line="240" w:lineRule="auto"/>
        <w:jc w:val="both"/>
        <w:rPr>
          <w:rFonts w:ascii="Arial" w:eastAsia="Arial" w:hAnsi="Arial" w:cs="Arial"/>
        </w:rPr>
      </w:pPr>
    </w:p>
    <w:p w:rsidR="000E0216" w:rsidRDefault="00290AC4">
      <w:pPr>
        <w:spacing w:after="0" w:line="240" w:lineRule="auto"/>
        <w:jc w:val="both"/>
        <w:rPr>
          <w:rFonts w:ascii="Arial" w:eastAsia="Arial" w:hAnsi="Arial" w:cs="Arial"/>
        </w:rPr>
      </w:pPr>
      <w:r>
        <w:rPr>
          <w:rFonts w:ascii="Arial" w:eastAsia="Arial" w:hAnsi="Arial" w:cs="Arial"/>
        </w:rPr>
        <w:t>Este cuerpo de disposiciones normativas, a fin de conjurar los graves efectos sociales y económicos generados en razón a la suspensión de la prestación del servicio esencial de la justicia, y teniendo en consideración que el mismo es el vehículo para garantizar los derechos y la seguridad jurídica, adoptó medidas dirigidas a su reactivación, logrando incrementar la eficiencia y efectividad del aparato jurisdiccional para resolver los procesos con transparencia, y responder adecuada y oportunamente a las necesidades jurídicas de los ciudadanos.</w:t>
      </w:r>
    </w:p>
    <w:p w:rsidR="000E0216" w:rsidRDefault="000E0216">
      <w:pPr>
        <w:spacing w:after="0" w:line="240" w:lineRule="auto"/>
        <w:jc w:val="both"/>
        <w:rPr>
          <w:rFonts w:ascii="Arial" w:eastAsia="Arial" w:hAnsi="Arial" w:cs="Arial"/>
        </w:rPr>
      </w:pPr>
    </w:p>
    <w:p w:rsidR="000E0216" w:rsidRDefault="00290AC4">
      <w:pPr>
        <w:spacing w:after="0" w:line="240" w:lineRule="auto"/>
        <w:jc w:val="both"/>
        <w:rPr>
          <w:rFonts w:ascii="Arial" w:eastAsia="Arial" w:hAnsi="Arial" w:cs="Arial"/>
        </w:rPr>
      </w:pPr>
      <w:r>
        <w:rPr>
          <w:rFonts w:ascii="Arial" w:eastAsia="Arial" w:hAnsi="Arial" w:cs="Arial"/>
        </w:rPr>
        <w:t xml:space="preserve">En este sentido, se estableció que por regla general todas las actuaciones judiciales (presentación de la demanda, contestación de la demanda, audiencias, notificaciones, traslados, alegatos, entre otras) deberán tramitarse a través de medios virtuales, y excepcionalmente de manera presencial, siempre que sean manifestadas las razones por las cuales no se puede adelantar la gestión mediante el uso de las tecnologías de la información y las comunicaciones. De esta manera se garantiza el derecho fundamental de </w:t>
      </w:r>
      <w:r>
        <w:rPr>
          <w:rFonts w:ascii="Arial" w:eastAsia="Arial" w:hAnsi="Arial" w:cs="Arial"/>
        </w:rPr>
        <w:lastRenderedPageBreak/>
        <w:t>acceso a la administración de justicia tanto a quienes pueden acceder a la tecnología, como a quienes no pueden hacerlo (Artículo 1)</w:t>
      </w:r>
      <w:r>
        <w:rPr>
          <w:rFonts w:ascii="Arial" w:eastAsia="Arial" w:hAnsi="Arial" w:cs="Arial"/>
          <w:vertAlign w:val="superscript"/>
        </w:rPr>
        <w:footnoteReference w:id="2"/>
      </w:r>
      <w:r>
        <w:rPr>
          <w:rFonts w:ascii="Arial" w:eastAsia="Arial" w:hAnsi="Arial" w:cs="Arial"/>
        </w:rPr>
        <w:t xml:space="preserve">. </w:t>
      </w:r>
    </w:p>
    <w:p w:rsidR="000E0216" w:rsidRDefault="000E0216">
      <w:pPr>
        <w:spacing w:after="0" w:line="240" w:lineRule="auto"/>
        <w:jc w:val="both"/>
        <w:rPr>
          <w:rFonts w:ascii="Arial" w:eastAsia="Arial" w:hAnsi="Arial" w:cs="Arial"/>
        </w:rPr>
      </w:pPr>
    </w:p>
    <w:p w:rsidR="000E0216" w:rsidRDefault="00290AC4">
      <w:pPr>
        <w:spacing w:after="0" w:line="240" w:lineRule="auto"/>
        <w:jc w:val="both"/>
        <w:rPr>
          <w:rFonts w:ascii="Arial" w:eastAsia="Arial" w:hAnsi="Arial" w:cs="Arial"/>
        </w:rPr>
      </w:pPr>
      <w:r>
        <w:rPr>
          <w:rFonts w:ascii="Arial" w:eastAsia="Arial" w:hAnsi="Arial" w:cs="Arial"/>
        </w:rPr>
        <w:t xml:space="preserve">Con tal fin, se dispone prestar especial atención a las poblaciones rurales y remotas, a los grupos étnicos y a las personas con discapacidad que enfrentan barreras para el acceso a las tecnologías de la información y las comunicaciones, a efectos de permitirles un acercamiento al sistema en igualdad de condiciones respecto a las demás personas (Artículo 2, inciso 4).  </w:t>
      </w:r>
    </w:p>
    <w:p w:rsidR="000E0216" w:rsidRDefault="000E0216">
      <w:pPr>
        <w:spacing w:after="0" w:line="240" w:lineRule="auto"/>
        <w:jc w:val="both"/>
        <w:rPr>
          <w:rFonts w:ascii="Arial" w:eastAsia="Arial" w:hAnsi="Arial" w:cs="Arial"/>
        </w:rPr>
      </w:pPr>
    </w:p>
    <w:p w:rsidR="000E0216" w:rsidRDefault="00290AC4">
      <w:pPr>
        <w:spacing w:after="0" w:line="240" w:lineRule="auto"/>
        <w:jc w:val="both"/>
        <w:rPr>
          <w:rFonts w:ascii="Arial" w:eastAsia="Arial" w:hAnsi="Arial" w:cs="Arial"/>
        </w:rPr>
      </w:pPr>
      <w:r>
        <w:rPr>
          <w:rFonts w:ascii="Arial" w:eastAsia="Arial" w:hAnsi="Arial" w:cs="Arial"/>
        </w:rPr>
        <w:t xml:space="preserve">Seguida línea, se impone la obligación de adoptar todas las medidas necesarias para garantizar el debido proceso, la publicidad y el derecho de contradicción en la aplicación de las tecnologías de la información y de las comunicaciones (Artículo 2, parágrafo 1). </w:t>
      </w:r>
    </w:p>
    <w:p w:rsidR="000E0216" w:rsidRDefault="000E0216">
      <w:pPr>
        <w:spacing w:after="0" w:line="240" w:lineRule="auto"/>
        <w:jc w:val="both"/>
        <w:rPr>
          <w:rFonts w:ascii="Arial" w:eastAsia="Arial" w:hAnsi="Arial" w:cs="Arial"/>
        </w:rPr>
      </w:pPr>
    </w:p>
    <w:p w:rsidR="000E0216" w:rsidRDefault="00290AC4">
      <w:pPr>
        <w:spacing w:after="0" w:line="240" w:lineRule="auto"/>
        <w:jc w:val="both"/>
        <w:rPr>
          <w:rFonts w:ascii="Arial" w:eastAsia="Arial" w:hAnsi="Arial" w:cs="Arial"/>
        </w:rPr>
      </w:pPr>
      <w:r>
        <w:rPr>
          <w:rFonts w:ascii="Arial" w:eastAsia="Arial" w:hAnsi="Arial" w:cs="Arial"/>
        </w:rPr>
        <w:t xml:space="preserve">Se establece el deber de los sujetos procesales de realizar sus actuaciones y de asistir a las diligencias a través de medios tecnológicos, así como de colaborar solidariamente con la buena marcha del servicio público de administración de justicia (Artículo 3). En este sentido se dispone que tanto estos, como las autoridades judiciales, se encuentran en la obligación de colaborar proporcionando por cualquier medio las piezas procesales que se encuentren en su poder y que sean requeridas para desarrollar la actuación (Artículo 4). </w:t>
      </w:r>
    </w:p>
    <w:p w:rsidR="000E0216" w:rsidRDefault="000E0216">
      <w:pPr>
        <w:spacing w:after="0" w:line="240" w:lineRule="auto"/>
        <w:jc w:val="both"/>
        <w:rPr>
          <w:rFonts w:ascii="Arial" w:eastAsia="Arial" w:hAnsi="Arial" w:cs="Arial"/>
        </w:rPr>
      </w:pPr>
    </w:p>
    <w:p w:rsidR="000E0216" w:rsidRDefault="00290AC4">
      <w:pPr>
        <w:spacing w:after="0" w:line="240" w:lineRule="auto"/>
        <w:jc w:val="both"/>
        <w:rPr>
          <w:rFonts w:ascii="Arial" w:eastAsia="Arial" w:hAnsi="Arial" w:cs="Arial"/>
        </w:rPr>
      </w:pPr>
      <w:r>
        <w:rPr>
          <w:rFonts w:ascii="Arial" w:eastAsia="Arial" w:hAnsi="Arial" w:cs="Arial"/>
        </w:rPr>
        <w:t xml:space="preserve">Así mismo, con el interés de flexibilizar la atención a los usuarios de los servicios de justicia, se hace referencia a los poderes especiales, indicándose que estos podrán ser conferidos mediante mensaje de datos, sin firma manuscrita o digital, con la sola antefirma, caso en el cual se presumirán auténticos y no requerirán de ninguna presentación personal o reconocimiento (Artículo 5). </w:t>
      </w:r>
    </w:p>
    <w:p w:rsidR="000E0216" w:rsidRDefault="000E0216">
      <w:pPr>
        <w:spacing w:after="0" w:line="240" w:lineRule="auto"/>
        <w:jc w:val="both"/>
        <w:rPr>
          <w:rFonts w:ascii="Arial" w:eastAsia="Arial" w:hAnsi="Arial" w:cs="Arial"/>
        </w:rPr>
      </w:pPr>
    </w:p>
    <w:p w:rsidR="000E0216" w:rsidRDefault="00290AC4">
      <w:pPr>
        <w:spacing w:after="0" w:line="240" w:lineRule="auto"/>
        <w:jc w:val="both"/>
        <w:rPr>
          <w:rFonts w:ascii="Arial" w:eastAsia="Arial" w:hAnsi="Arial" w:cs="Arial"/>
        </w:rPr>
      </w:pPr>
      <w:r>
        <w:rPr>
          <w:rFonts w:ascii="Arial" w:eastAsia="Arial" w:hAnsi="Arial" w:cs="Arial"/>
        </w:rPr>
        <w:t xml:space="preserve">Ahora bien, en aras de agilizar el trámite de los diversos procedimientos, se promueve la virtualidad exigiéndose, salvo excepciones precisas, la utilización de canales digitales y de herramientas tecnológicas para: </w:t>
      </w:r>
    </w:p>
    <w:p w:rsidR="000E0216" w:rsidRDefault="000E0216">
      <w:pPr>
        <w:spacing w:after="0" w:line="240" w:lineRule="auto"/>
        <w:jc w:val="both"/>
        <w:rPr>
          <w:rFonts w:ascii="Arial" w:eastAsia="Arial" w:hAnsi="Arial" w:cs="Arial"/>
        </w:rPr>
      </w:pPr>
    </w:p>
    <w:p w:rsidR="000E0216" w:rsidRDefault="00290AC4">
      <w:pPr>
        <w:numPr>
          <w:ilvl w:val="0"/>
          <w:numId w:val="3"/>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La presentación de la demanda o del correspondiente escrito de subsanación de la misma (Artículo 6).</w:t>
      </w:r>
    </w:p>
    <w:p w:rsidR="000E0216" w:rsidRDefault="00290AC4">
      <w:pPr>
        <w:numPr>
          <w:ilvl w:val="0"/>
          <w:numId w:val="3"/>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La celebración de las audiencias y diligencias (Artículo 7).</w:t>
      </w:r>
    </w:p>
    <w:p w:rsidR="000E0216" w:rsidRDefault="00290AC4">
      <w:pPr>
        <w:numPr>
          <w:ilvl w:val="0"/>
          <w:numId w:val="3"/>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Las notificaciones personales (Artículo 8) y por estado (Artículo 9), así como los emplazamientos (Artículo 10). </w:t>
      </w:r>
    </w:p>
    <w:p w:rsidR="000E0216" w:rsidRDefault="00290AC4">
      <w:pPr>
        <w:numPr>
          <w:ilvl w:val="0"/>
          <w:numId w:val="3"/>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Las comunicaciones, oficios y despachos con cualquier destinatario (Artículo 11). </w:t>
      </w:r>
    </w:p>
    <w:p w:rsidR="000E0216" w:rsidRDefault="000E0216">
      <w:pPr>
        <w:spacing w:after="0" w:line="240" w:lineRule="auto"/>
        <w:jc w:val="both"/>
        <w:rPr>
          <w:rFonts w:ascii="Arial" w:eastAsia="Arial" w:hAnsi="Arial" w:cs="Arial"/>
        </w:rPr>
      </w:pPr>
    </w:p>
    <w:p w:rsidR="000E0216" w:rsidRDefault="00290AC4">
      <w:pPr>
        <w:spacing w:after="0" w:line="240" w:lineRule="auto"/>
        <w:jc w:val="both"/>
        <w:rPr>
          <w:rFonts w:ascii="Arial" w:eastAsia="Arial" w:hAnsi="Arial" w:cs="Arial"/>
        </w:rPr>
      </w:pPr>
      <w:r>
        <w:rPr>
          <w:rFonts w:ascii="Arial" w:eastAsia="Arial" w:hAnsi="Arial" w:cs="Arial"/>
        </w:rPr>
        <w:t xml:space="preserve">El Decreto incluye dos artículos referentes a asuntos propios de la jurisdicción de lo contencioso administrativo (resolución de excepciones en la jurisdicción de lo contencioso administrativo -Artículo 12- y sentencia anticipada en lo contencioso administrativo -Artículo 13-), los cuales han sido incorporados ya como legislación permanente en la Ley 2080 de 2021. </w:t>
      </w:r>
    </w:p>
    <w:p w:rsidR="000E0216" w:rsidRDefault="000E0216">
      <w:pPr>
        <w:spacing w:after="0" w:line="240" w:lineRule="auto"/>
        <w:jc w:val="both"/>
        <w:rPr>
          <w:rFonts w:ascii="Arial" w:eastAsia="Arial" w:hAnsi="Arial" w:cs="Arial"/>
        </w:rPr>
      </w:pPr>
    </w:p>
    <w:p w:rsidR="000E0216" w:rsidRDefault="00290AC4">
      <w:pPr>
        <w:spacing w:after="0" w:line="240" w:lineRule="auto"/>
        <w:jc w:val="both"/>
        <w:rPr>
          <w:rFonts w:ascii="Arial" w:eastAsia="Arial" w:hAnsi="Arial" w:cs="Arial"/>
        </w:rPr>
      </w:pPr>
      <w:r>
        <w:rPr>
          <w:rFonts w:ascii="Arial" w:eastAsia="Arial" w:hAnsi="Arial" w:cs="Arial"/>
        </w:rPr>
        <w:lastRenderedPageBreak/>
        <w:t xml:space="preserve">Y finalmente regula lo atinente al recurso de apelación en materia civil y de familia (Artículo 14), y en materia laboral (Artículo 15).  </w:t>
      </w:r>
    </w:p>
    <w:p w:rsidR="000E0216" w:rsidRDefault="000E0216">
      <w:pPr>
        <w:spacing w:after="0" w:line="240" w:lineRule="auto"/>
        <w:jc w:val="both"/>
        <w:rPr>
          <w:rFonts w:ascii="Arial" w:eastAsia="Arial" w:hAnsi="Arial" w:cs="Arial"/>
        </w:rPr>
      </w:pPr>
    </w:p>
    <w:p w:rsidR="000E0216" w:rsidRDefault="00290AC4">
      <w:pPr>
        <w:spacing w:after="0" w:line="240" w:lineRule="auto"/>
        <w:jc w:val="both"/>
        <w:rPr>
          <w:rFonts w:ascii="Arial" w:eastAsia="Arial" w:hAnsi="Arial" w:cs="Arial"/>
        </w:rPr>
      </w:pPr>
      <w:r>
        <w:rPr>
          <w:rFonts w:ascii="Arial" w:eastAsia="Arial" w:hAnsi="Arial" w:cs="Arial"/>
        </w:rPr>
        <w:t xml:space="preserve">Así se ponen de manifiesto los avances que trajo consigo la expedición del Decreto Legislativo 806 de 2020, los cuales no solo han contribuido a superar la contingencia causada por la pandemia, sino que además han logrado el acercamiento efectivo de la justicia al ciudadano, a quien se le permite, entonces, gozar y disfrutar de sus derechos. Por esta razón, estos deben observarse con vocación de permanencia, pues obviarlos supondría una flagrante afectación al sistema de administración de justicia del país. </w:t>
      </w:r>
    </w:p>
    <w:p w:rsidR="000E0216" w:rsidRDefault="000E0216">
      <w:pPr>
        <w:spacing w:after="0" w:line="240" w:lineRule="auto"/>
        <w:jc w:val="both"/>
        <w:rPr>
          <w:rFonts w:ascii="Arial" w:eastAsia="Arial" w:hAnsi="Arial" w:cs="Arial"/>
          <w:b/>
          <w:u w:val="single"/>
        </w:rPr>
      </w:pPr>
    </w:p>
    <w:p w:rsidR="000E0216" w:rsidRDefault="00290AC4">
      <w:pPr>
        <w:spacing w:after="0" w:line="240" w:lineRule="auto"/>
        <w:jc w:val="both"/>
        <w:rPr>
          <w:rFonts w:ascii="Arial" w:eastAsia="Arial" w:hAnsi="Arial" w:cs="Arial"/>
          <w:b/>
          <w:u w:val="single"/>
        </w:rPr>
      </w:pPr>
      <w:r>
        <w:rPr>
          <w:rFonts w:ascii="Arial" w:eastAsia="Arial" w:hAnsi="Arial" w:cs="Arial"/>
          <w:b/>
          <w:u w:val="single"/>
        </w:rPr>
        <w:t>Crédito BID</w:t>
      </w:r>
      <w:r>
        <w:rPr>
          <w:rFonts w:ascii="Arial" w:eastAsia="Arial" w:hAnsi="Arial" w:cs="Arial"/>
          <w:b/>
          <w:u w:val="single"/>
          <w:vertAlign w:val="superscript"/>
        </w:rPr>
        <w:footnoteReference w:id="3"/>
      </w:r>
      <w:r>
        <w:rPr>
          <w:rFonts w:ascii="Arial" w:eastAsia="Arial" w:hAnsi="Arial" w:cs="Arial"/>
          <w:b/>
          <w:u w:val="single"/>
          <w:vertAlign w:val="superscript"/>
        </w:rPr>
        <w:t xml:space="preserve"> </w:t>
      </w:r>
    </w:p>
    <w:p w:rsidR="000E0216" w:rsidRDefault="000E0216">
      <w:pPr>
        <w:spacing w:after="0" w:line="240" w:lineRule="auto"/>
        <w:jc w:val="both"/>
        <w:rPr>
          <w:rFonts w:ascii="Arial" w:eastAsia="Arial" w:hAnsi="Arial" w:cs="Arial"/>
          <w:b/>
          <w:u w:val="single"/>
        </w:rPr>
      </w:pPr>
    </w:p>
    <w:p w:rsidR="000E0216" w:rsidRDefault="00290AC4">
      <w:pPr>
        <w:spacing w:after="0" w:line="240" w:lineRule="auto"/>
        <w:jc w:val="both"/>
        <w:rPr>
          <w:rFonts w:ascii="Arial" w:eastAsia="Arial" w:hAnsi="Arial" w:cs="Arial"/>
        </w:rPr>
      </w:pPr>
      <w:r>
        <w:rPr>
          <w:rFonts w:ascii="Arial" w:eastAsia="Arial" w:hAnsi="Arial" w:cs="Arial"/>
        </w:rPr>
        <w:t xml:space="preserve">La transformación digital de la justicia ha sido un pilar fundamental de las diferentes iniciativas impulsadas por este Gobierno, quien, con la mentalidad de evitar la consolidación de la misma como un mero discurso, emprendió las acciones necesarias para conseguir los recursos económicos necesarios para garantizar la implementación de las tecnologías de la información y las comunicaciones en la prestación del servicio, ello con independencia de las circunstancias propias de cada ciudadano. </w:t>
      </w:r>
    </w:p>
    <w:p w:rsidR="000E0216" w:rsidRDefault="000E0216">
      <w:pPr>
        <w:spacing w:after="0" w:line="240" w:lineRule="auto"/>
        <w:jc w:val="both"/>
        <w:rPr>
          <w:rFonts w:ascii="Arial" w:eastAsia="Arial" w:hAnsi="Arial" w:cs="Arial"/>
        </w:rPr>
      </w:pPr>
    </w:p>
    <w:p w:rsidR="000E0216" w:rsidRDefault="00290AC4">
      <w:pPr>
        <w:spacing w:after="0" w:line="240" w:lineRule="auto"/>
        <w:jc w:val="both"/>
        <w:rPr>
          <w:rFonts w:ascii="Arial" w:eastAsia="Arial" w:hAnsi="Arial" w:cs="Arial"/>
        </w:rPr>
      </w:pPr>
      <w:r>
        <w:rPr>
          <w:rFonts w:ascii="Arial" w:eastAsia="Arial" w:hAnsi="Arial" w:cs="Arial"/>
        </w:rPr>
        <w:t xml:space="preserve">De esta manera aquél solicitó financiación para ejecutar el proyecto en un periodo de 12 años, a través de una operación de crédito externo ante Banco Interamericano de Desarrollo -BID, quien lo viabilizó bajo la modalidad de crédito condicional, y de ejecución escalonada en tres fases, para un valor total de US$500 millones, discriminados de la siguiente manera:  </w:t>
      </w:r>
    </w:p>
    <w:p w:rsidR="000E0216" w:rsidRDefault="000E0216">
      <w:pPr>
        <w:spacing w:after="0" w:line="240" w:lineRule="auto"/>
        <w:jc w:val="both"/>
        <w:rPr>
          <w:rFonts w:ascii="Arial" w:eastAsia="Arial" w:hAnsi="Arial" w:cs="Arial"/>
        </w:rPr>
      </w:pPr>
    </w:p>
    <w:p w:rsidR="000E0216" w:rsidRDefault="00290AC4">
      <w:pPr>
        <w:numPr>
          <w:ilvl w:val="0"/>
          <w:numId w:val="3"/>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Fase 1: US$100 millones a cuatro años, 2021-2025. Para este crédito, se dio concepto favorable a la Nación para su contratación, mediante el documento CONPES (Consejo Nacional de Política Económica y Social) 4024, aprobado el 8 de marzo de 2021, y fue suscrito el 17 de agosto siguiente. </w:t>
      </w:r>
    </w:p>
    <w:p w:rsidR="000E0216" w:rsidRDefault="00290AC4">
      <w:pPr>
        <w:numPr>
          <w:ilvl w:val="0"/>
          <w:numId w:val="3"/>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Fase 2: US$200 millones a cuatro años, una vez ejecutada y finalizada la fase 1.</w:t>
      </w:r>
    </w:p>
    <w:p w:rsidR="000E0216" w:rsidRDefault="00290AC4">
      <w:pPr>
        <w:numPr>
          <w:ilvl w:val="0"/>
          <w:numId w:val="3"/>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Fase 3: US$200 millones a cuatro años, una vez ejecutada y finalizada la fase 2.</w:t>
      </w:r>
    </w:p>
    <w:p w:rsidR="000E0216" w:rsidRDefault="000E0216">
      <w:pPr>
        <w:spacing w:after="0" w:line="240" w:lineRule="auto"/>
        <w:jc w:val="both"/>
        <w:rPr>
          <w:rFonts w:ascii="Arial" w:eastAsia="Arial" w:hAnsi="Arial" w:cs="Arial"/>
        </w:rPr>
      </w:pPr>
    </w:p>
    <w:p w:rsidR="000E0216" w:rsidRDefault="00290AC4">
      <w:pPr>
        <w:spacing w:after="0" w:line="240" w:lineRule="auto"/>
        <w:jc w:val="both"/>
        <w:rPr>
          <w:rFonts w:ascii="Arial" w:eastAsia="Arial" w:hAnsi="Arial" w:cs="Arial"/>
        </w:rPr>
      </w:pPr>
      <w:r>
        <w:rPr>
          <w:rFonts w:ascii="Arial" w:eastAsia="Arial" w:hAnsi="Arial" w:cs="Arial"/>
        </w:rPr>
        <w:t xml:space="preserve">La primera fase del programa, tiene como finalidad incrementar la efectividad, la eficiencia y la transparencia del sistema de justicia para resolver los procesos judiciales, y mejorar la respuesta a las necesidades jurídicas de los ciudadanos, esto mediante los siguientes objetivos específicos: </w:t>
      </w:r>
    </w:p>
    <w:p w:rsidR="000E0216" w:rsidRDefault="000E0216">
      <w:pPr>
        <w:spacing w:after="0" w:line="240" w:lineRule="auto"/>
        <w:jc w:val="both"/>
        <w:rPr>
          <w:rFonts w:ascii="Arial" w:eastAsia="Arial" w:hAnsi="Arial" w:cs="Arial"/>
        </w:rPr>
      </w:pPr>
    </w:p>
    <w:p w:rsidR="000E0216" w:rsidRDefault="00290AC4">
      <w:pPr>
        <w:numPr>
          <w:ilvl w:val="0"/>
          <w:numId w:val="3"/>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Mejorar la efectividad de la gestión de los procesos judiciales para el fortalecimiento institucional del sistema de justicia.</w:t>
      </w:r>
    </w:p>
    <w:p w:rsidR="000E0216" w:rsidRDefault="00290AC4">
      <w:pPr>
        <w:numPr>
          <w:ilvl w:val="0"/>
          <w:numId w:val="3"/>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Mejorar la eficiencia en la gestión de los procesos judiciales para el fortalecimiento de los servicios digitales y de tecnología para la justicia.</w:t>
      </w:r>
    </w:p>
    <w:p w:rsidR="000E0216" w:rsidRDefault="00290AC4">
      <w:pPr>
        <w:numPr>
          <w:ilvl w:val="0"/>
          <w:numId w:val="3"/>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Mejorar la transparencia en la gestión de los procesos judiciales para el fortalecimiento del entorno y la cultura digital. </w:t>
      </w:r>
    </w:p>
    <w:p w:rsidR="000E0216" w:rsidRDefault="000E0216">
      <w:pPr>
        <w:spacing w:after="0" w:line="240" w:lineRule="auto"/>
        <w:jc w:val="both"/>
        <w:rPr>
          <w:rFonts w:ascii="Arial" w:eastAsia="Arial" w:hAnsi="Arial" w:cs="Arial"/>
        </w:rPr>
      </w:pPr>
    </w:p>
    <w:p w:rsidR="000E0216" w:rsidRDefault="00290AC4">
      <w:pPr>
        <w:spacing w:after="0" w:line="240" w:lineRule="auto"/>
        <w:jc w:val="both"/>
        <w:rPr>
          <w:rFonts w:ascii="Arial" w:eastAsia="Arial" w:hAnsi="Arial" w:cs="Arial"/>
        </w:rPr>
      </w:pPr>
      <w:r>
        <w:rPr>
          <w:rFonts w:ascii="Arial" w:eastAsia="Arial" w:hAnsi="Arial" w:cs="Arial"/>
        </w:rPr>
        <w:t xml:space="preserve">Esto, sin lugar a dudas, representa una optimización del acceso a la administración de justicia, pues la implementación de las tecnologías de la información y las comunicaciones </w:t>
      </w:r>
      <w:r>
        <w:rPr>
          <w:rFonts w:ascii="Arial" w:eastAsia="Arial" w:hAnsi="Arial" w:cs="Arial"/>
        </w:rPr>
        <w:lastRenderedPageBreak/>
        <w:t xml:space="preserve">ha demostrado tener un impacto enorme en el mejoramiento de la productividad del aparato jurisdiccional, toda vez que permite prestar un servicio de mejor calidad, en menor tiempo, y a un menor costo, todo ello en pro de generar beneficios a todos y cada una de las personas que intervienen en los procesos judiciales. </w:t>
      </w:r>
    </w:p>
    <w:p w:rsidR="000E0216" w:rsidRDefault="000E0216">
      <w:pPr>
        <w:spacing w:after="0" w:line="240" w:lineRule="auto"/>
        <w:rPr>
          <w:rFonts w:ascii="Arial" w:eastAsia="Arial" w:hAnsi="Arial" w:cs="Arial"/>
        </w:rPr>
      </w:pPr>
    </w:p>
    <w:p w:rsidR="000E0216" w:rsidRDefault="00290AC4">
      <w:pPr>
        <w:spacing w:after="0" w:line="240" w:lineRule="auto"/>
        <w:rPr>
          <w:rFonts w:ascii="Arial" w:eastAsia="Arial" w:hAnsi="Arial" w:cs="Arial"/>
        </w:rPr>
      </w:pPr>
      <w:r>
        <w:rPr>
          <w:rFonts w:ascii="Arial" w:eastAsia="Arial" w:hAnsi="Arial" w:cs="Arial"/>
        </w:rPr>
        <w:t xml:space="preserve">Lo anterior sobre la base de que el Estado Social de Derecho no puede ser ajeno a la era digital, y en este sentido debe procurar una mejor gestión de lo público y de las necesidades jurídicas de la población, en un escenario responsable, bajo altos estándares éticos compatibles con los derechos fundamentales, el pluralismo jurídico y las diversidades socioculturales. </w:t>
      </w:r>
    </w:p>
    <w:p w:rsidR="000E0216" w:rsidRDefault="000E0216">
      <w:pPr>
        <w:pBdr>
          <w:top w:val="nil"/>
          <w:left w:val="nil"/>
          <w:bottom w:val="nil"/>
          <w:right w:val="nil"/>
          <w:between w:val="nil"/>
        </w:pBdr>
        <w:spacing w:after="0" w:line="240" w:lineRule="auto"/>
        <w:ind w:left="1080"/>
        <w:jc w:val="both"/>
        <w:rPr>
          <w:rFonts w:ascii="Arial" w:eastAsia="Arial" w:hAnsi="Arial" w:cs="Arial"/>
          <w:b/>
          <w:color w:val="000000"/>
        </w:rPr>
      </w:pPr>
    </w:p>
    <w:p w:rsidR="000E0216" w:rsidRDefault="000E0216">
      <w:pPr>
        <w:pBdr>
          <w:top w:val="nil"/>
          <w:left w:val="nil"/>
          <w:bottom w:val="nil"/>
          <w:right w:val="nil"/>
          <w:between w:val="nil"/>
        </w:pBdr>
        <w:spacing w:after="0" w:line="240" w:lineRule="auto"/>
        <w:ind w:left="720"/>
        <w:jc w:val="both"/>
        <w:rPr>
          <w:rFonts w:ascii="Arial" w:eastAsia="Arial" w:hAnsi="Arial" w:cs="Arial"/>
          <w:color w:val="000000"/>
        </w:rPr>
      </w:pPr>
    </w:p>
    <w:p w:rsidR="000E0216" w:rsidRDefault="00290AC4">
      <w:pPr>
        <w:numPr>
          <w:ilvl w:val="0"/>
          <w:numId w:val="6"/>
        </w:numPr>
        <w:pBdr>
          <w:top w:val="nil"/>
          <w:left w:val="nil"/>
          <w:bottom w:val="nil"/>
          <w:right w:val="nil"/>
          <w:between w:val="nil"/>
        </w:pBdr>
        <w:spacing w:after="0" w:line="240" w:lineRule="auto"/>
        <w:ind w:left="0" w:firstLine="0"/>
        <w:jc w:val="center"/>
        <w:rPr>
          <w:rFonts w:ascii="Arial" w:eastAsia="Arial" w:hAnsi="Arial" w:cs="Arial"/>
          <w:b/>
          <w:color w:val="000000"/>
        </w:rPr>
      </w:pPr>
      <w:r>
        <w:rPr>
          <w:rFonts w:ascii="Arial" w:eastAsia="Arial" w:hAnsi="Arial" w:cs="Arial"/>
          <w:b/>
          <w:color w:val="000000"/>
        </w:rPr>
        <w:t>CONFLICTO DE INTERESES</w:t>
      </w:r>
    </w:p>
    <w:p w:rsidR="000E0216" w:rsidRDefault="000E0216">
      <w:pPr>
        <w:spacing w:after="0" w:line="240" w:lineRule="auto"/>
        <w:jc w:val="both"/>
        <w:rPr>
          <w:rFonts w:ascii="Arial" w:eastAsia="Arial" w:hAnsi="Arial" w:cs="Arial"/>
          <w:color w:val="000000"/>
        </w:rPr>
      </w:pPr>
    </w:p>
    <w:p w:rsidR="000E0216" w:rsidRDefault="00290AC4">
      <w:pPr>
        <w:spacing w:after="0" w:line="240" w:lineRule="auto"/>
        <w:jc w:val="both"/>
        <w:rPr>
          <w:rFonts w:ascii="Arial" w:eastAsia="Arial" w:hAnsi="Arial" w:cs="Arial"/>
          <w:color w:val="000000"/>
        </w:rPr>
      </w:pPr>
      <w:r>
        <w:rPr>
          <w:rFonts w:ascii="Arial" w:eastAsia="Arial" w:hAnsi="Arial" w:cs="Arial"/>
          <w:color w:val="000000"/>
        </w:rPr>
        <w:t xml:space="preserve">De conformidad con lo establecido en el artículo 3° de la Ley 2003 del 19 de noviembre de 2019, </w:t>
      </w:r>
      <w:r>
        <w:rPr>
          <w:rFonts w:ascii="Arial" w:eastAsia="Arial" w:hAnsi="Arial" w:cs="Arial"/>
          <w:i/>
          <w:color w:val="000000"/>
        </w:rPr>
        <w:t>“por la cual se modifica parcialmente la Ley 5 de 1992 y se  dictan  otras  disposiciones”,</w:t>
      </w:r>
      <w:r>
        <w:rPr>
          <w:rFonts w:ascii="Arial" w:eastAsia="Arial" w:hAnsi="Arial" w:cs="Arial"/>
          <w:color w:val="000000"/>
        </w:rPr>
        <w:t xml:space="preserve">  y que modifica el artículo 291 de la Ley 5ª de 1992, se dispone que el autor del proyecto y el ponente presentarán en el cuerpo de la exposición de motivos la descripción de las circunstancias o eventos que podrían generar un conflicto de interés para la discusión y votación del proyecto, siendo estos criterios guías para que los otros congresistas tomen una decisión en torno a  si  se encuentran en una causal de impedimento.</w:t>
      </w:r>
    </w:p>
    <w:p w:rsidR="000E0216" w:rsidRDefault="000E0216">
      <w:pPr>
        <w:spacing w:after="0" w:line="240" w:lineRule="auto"/>
        <w:jc w:val="both"/>
        <w:rPr>
          <w:rFonts w:ascii="Arial" w:eastAsia="Arial" w:hAnsi="Arial" w:cs="Arial"/>
          <w:color w:val="000000"/>
        </w:rPr>
      </w:pPr>
    </w:p>
    <w:p w:rsidR="000E0216" w:rsidRDefault="00290AC4">
      <w:pPr>
        <w:spacing w:after="0" w:line="240" w:lineRule="auto"/>
        <w:jc w:val="both"/>
        <w:rPr>
          <w:rFonts w:ascii="Arial" w:eastAsia="Arial" w:hAnsi="Arial" w:cs="Arial"/>
          <w:i/>
          <w:color w:val="000000"/>
        </w:rPr>
      </w:pPr>
      <w:r>
        <w:rPr>
          <w:rFonts w:ascii="Arial" w:eastAsia="Arial" w:hAnsi="Arial" w:cs="Arial"/>
          <w:color w:val="000000"/>
        </w:rPr>
        <w:t xml:space="preserve">Es pertinente indicar que, para llegar a configurar una violación al conflicto de intereses, </w:t>
      </w:r>
      <w:r>
        <w:rPr>
          <w:rFonts w:ascii="Arial" w:eastAsia="Arial" w:hAnsi="Arial" w:cs="Arial"/>
          <w:i/>
          <w:color w:val="000000"/>
        </w:rPr>
        <w:t>“El interés exigido debe tener tal entidad que lleve al congresista a incurrir en un ejercicio parcializado y no transparente de sus funciones, es decir, a una actuación no signada por la correcta prestación de la función pública y la prevalencia del interés social, sino por sus propios beneficios. En tal sentido, se ha exigido que el interés debe ser directo, esto es, que surja automáticamente del cumplimiento de la función parlamentaria; asimismo, debe ser particular o, en otras palabras, radicar en cabeza del congresista o de las personas que tienen vínculos con este; actual, es decir, precedente y concurrente con el cumplimiento de las funciones por parte del parlamentario; moral o económico, lo cual pone de manifiesto que no está circunscrito al ámbito estrictamente monetario, y, por último, debe ser real, no hipotético o eventual”</w:t>
      </w:r>
      <w:r>
        <w:rPr>
          <w:rFonts w:ascii="Arial" w:eastAsia="Arial" w:hAnsi="Arial" w:cs="Arial"/>
          <w:i/>
          <w:color w:val="000000"/>
          <w:vertAlign w:val="superscript"/>
        </w:rPr>
        <w:footnoteReference w:id="4"/>
      </w:r>
      <w:r>
        <w:rPr>
          <w:rFonts w:ascii="Arial" w:eastAsia="Arial" w:hAnsi="Arial" w:cs="Arial"/>
          <w:i/>
          <w:color w:val="000000"/>
        </w:rPr>
        <w:t xml:space="preserve">. </w:t>
      </w:r>
    </w:p>
    <w:p w:rsidR="000E0216" w:rsidRDefault="000E0216">
      <w:pPr>
        <w:spacing w:after="0" w:line="240" w:lineRule="auto"/>
        <w:jc w:val="both"/>
        <w:rPr>
          <w:rFonts w:ascii="Arial" w:eastAsia="Arial" w:hAnsi="Arial" w:cs="Arial"/>
          <w:color w:val="000000"/>
        </w:rPr>
      </w:pPr>
    </w:p>
    <w:p w:rsidR="000E0216" w:rsidRDefault="00290AC4">
      <w:pPr>
        <w:spacing w:after="0" w:line="240" w:lineRule="auto"/>
        <w:jc w:val="both"/>
        <w:rPr>
          <w:rFonts w:ascii="Times New Roman" w:eastAsia="Times New Roman" w:hAnsi="Times New Roman" w:cs="Times New Roman"/>
        </w:rPr>
      </w:pPr>
      <w:r>
        <w:rPr>
          <w:rFonts w:ascii="Arial" w:eastAsia="Arial" w:hAnsi="Arial" w:cs="Arial"/>
          <w:color w:val="000000"/>
        </w:rPr>
        <w:t>Conforme a lo anterior, se considera que en los términos en que está planteado el presente proyecto de ley, salvo circunstancias específicas, no se configuran causales de conflicto de interés para los congresistas que participen de la discusión y votación del articulado, ello dado el espíritu general del mismo y los fines superiores que persigue.</w:t>
      </w:r>
      <w:r>
        <w:rPr>
          <w:rFonts w:ascii="Times New Roman" w:eastAsia="Times New Roman" w:hAnsi="Times New Roman" w:cs="Times New Roman"/>
        </w:rPr>
        <w:t xml:space="preserve"> </w:t>
      </w:r>
    </w:p>
    <w:p w:rsidR="000E0216" w:rsidRDefault="000E0216">
      <w:pPr>
        <w:pBdr>
          <w:top w:val="nil"/>
          <w:left w:val="nil"/>
          <w:bottom w:val="nil"/>
          <w:right w:val="nil"/>
          <w:between w:val="nil"/>
        </w:pBdr>
        <w:spacing w:after="0" w:line="240" w:lineRule="auto"/>
        <w:ind w:left="1080"/>
        <w:jc w:val="both"/>
        <w:rPr>
          <w:rFonts w:ascii="Arial" w:eastAsia="Arial" w:hAnsi="Arial" w:cs="Arial"/>
          <w:b/>
          <w:color w:val="000000"/>
        </w:rPr>
      </w:pPr>
    </w:p>
    <w:p w:rsidR="000E0216" w:rsidRDefault="000E0216">
      <w:pPr>
        <w:pBdr>
          <w:top w:val="nil"/>
          <w:left w:val="nil"/>
          <w:bottom w:val="nil"/>
          <w:right w:val="nil"/>
          <w:between w:val="nil"/>
        </w:pBdr>
        <w:spacing w:after="0" w:line="240" w:lineRule="auto"/>
        <w:jc w:val="both"/>
        <w:rPr>
          <w:rFonts w:ascii="Arial" w:eastAsia="Arial" w:hAnsi="Arial" w:cs="Arial"/>
          <w:color w:val="000000"/>
        </w:rPr>
      </w:pPr>
    </w:p>
    <w:p w:rsidR="000E0216" w:rsidRDefault="00290AC4">
      <w:pPr>
        <w:numPr>
          <w:ilvl w:val="0"/>
          <w:numId w:val="6"/>
        </w:numPr>
        <w:pBdr>
          <w:top w:val="nil"/>
          <w:left w:val="nil"/>
          <w:bottom w:val="nil"/>
          <w:right w:val="nil"/>
          <w:between w:val="nil"/>
        </w:pBdr>
        <w:spacing w:after="0" w:line="240" w:lineRule="auto"/>
        <w:ind w:left="0" w:firstLine="0"/>
        <w:jc w:val="center"/>
        <w:rPr>
          <w:rFonts w:ascii="Arial" w:eastAsia="Arial" w:hAnsi="Arial" w:cs="Arial"/>
          <w:b/>
          <w:color w:val="000000"/>
        </w:rPr>
      </w:pPr>
      <w:bookmarkStart w:id="1" w:name="_heading=h.gjdgxs" w:colFirst="0" w:colLast="0"/>
      <w:bookmarkEnd w:id="1"/>
      <w:r>
        <w:rPr>
          <w:rFonts w:ascii="Arial" w:eastAsia="Arial" w:hAnsi="Arial" w:cs="Arial"/>
          <w:b/>
          <w:color w:val="000000"/>
        </w:rPr>
        <w:t>PROPOSICIÓN</w:t>
      </w:r>
    </w:p>
    <w:p w:rsidR="000E0216" w:rsidRDefault="000E0216">
      <w:pPr>
        <w:pBdr>
          <w:top w:val="nil"/>
          <w:left w:val="nil"/>
          <w:bottom w:val="nil"/>
          <w:right w:val="nil"/>
          <w:between w:val="nil"/>
        </w:pBdr>
        <w:spacing w:after="0" w:line="240" w:lineRule="auto"/>
        <w:jc w:val="both"/>
        <w:rPr>
          <w:rFonts w:ascii="Arial" w:eastAsia="Arial" w:hAnsi="Arial" w:cs="Arial"/>
          <w:b/>
          <w:color w:val="000000"/>
        </w:rPr>
      </w:pPr>
    </w:p>
    <w:p w:rsidR="000E0216" w:rsidRDefault="00290AC4">
      <w:pPr>
        <w:spacing w:after="0" w:line="240" w:lineRule="auto"/>
        <w:jc w:val="both"/>
        <w:rPr>
          <w:rFonts w:ascii="Arial" w:eastAsia="Arial" w:hAnsi="Arial" w:cs="Arial"/>
        </w:rPr>
      </w:pPr>
      <w:r>
        <w:rPr>
          <w:rFonts w:ascii="Arial" w:eastAsia="Arial" w:hAnsi="Arial" w:cs="Arial"/>
        </w:rPr>
        <w:t xml:space="preserve">En consideración con los argumentos ampliamente expuestos, en cumplimiento con los requisitos establecidos en la Ley 5ª de 1992, presentamos ponencia favorable y solicitamos </w:t>
      </w:r>
      <w:r>
        <w:rPr>
          <w:rFonts w:ascii="Arial" w:eastAsia="Arial" w:hAnsi="Arial" w:cs="Arial"/>
        </w:rPr>
        <w:lastRenderedPageBreak/>
        <w:t xml:space="preserve">a las Comisiones Primeras Conjuntas del H. Senado de la República y la H. Cámara de Representantes dar primer debate al Proyecto de Ley No. 325 de 2022 (Senado) y 441 de 2022 (Cámara) “Por medio del cual se establece la vigencia permanente del decreto legislativo 806 de 2020”, de acuerdo con el texto original publicado en la Gaceta 119 del 2 de marzo de 2022. </w:t>
      </w:r>
    </w:p>
    <w:p w:rsidR="000E0216" w:rsidRDefault="000E0216">
      <w:pPr>
        <w:pBdr>
          <w:top w:val="nil"/>
          <w:left w:val="nil"/>
          <w:bottom w:val="nil"/>
          <w:right w:val="nil"/>
          <w:between w:val="nil"/>
        </w:pBdr>
        <w:spacing w:after="0" w:line="240" w:lineRule="auto"/>
        <w:jc w:val="both"/>
        <w:rPr>
          <w:rFonts w:ascii="Arial" w:eastAsia="Arial" w:hAnsi="Arial" w:cs="Arial"/>
          <w:color w:val="000000"/>
        </w:rPr>
      </w:pPr>
    </w:p>
    <w:p w:rsidR="000E0216" w:rsidRDefault="00290AC4">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De los Honorables Congresistas de las Comisiones Primeras Constitucionales Permanentes,</w:t>
      </w:r>
    </w:p>
    <w:p w:rsidR="000E0216" w:rsidRDefault="000E0216">
      <w:pPr>
        <w:pBdr>
          <w:top w:val="nil"/>
          <w:left w:val="nil"/>
          <w:bottom w:val="nil"/>
          <w:right w:val="nil"/>
          <w:between w:val="nil"/>
        </w:pBdr>
        <w:spacing w:after="0" w:line="240" w:lineRule="auto"/>
        <w:jc w:val="both"/>
        <w:rPr>
          <w:rFonts w:ascii="Arial" w:eastAsia="Arial" w:hAnsi="Arial" w:cs="Arial"/>
          <w:color w:val="000000"/>
        </w:rPr>
      </w:pPr>
    </w:p>
    <w:p w:rsidR="000E0216" w:rsidRDefault="000E0216">
      <w:pPr>
        <w:pBdr>
          <w:top w:val="nil"/>
          <w:left w:val="nil"/>
          <w:bottom w:val="nil"/>
          <w:right w:val="nil"/>
          <w:between w:val="nil"/>
        </w:pBdr>
        <w:spacing w:after="0" w:line="240" w:lineRule="auto"/>
        <w:jc w:val="both"/>
        <w:rPr>
          <w:rFonts w:ascii="Arial" w:eastAsia="Arial" w:hAnsi="Arial" w:cs="Arial"/>
          <w:color w:val="000000"/>
        </w:rPr>
      </w:pPr>
    </w:p>
    <w:p w:rsidR="002B5E6E" w:rsidRDefault="002B5E6E">
      <w:pPr>
        <w:pBdr>
          <w:top w:val="nil"/>
          <w:left w:val="nil"/>
          <w:bottom w:val="nil"/>
          <w:right w:val="nil"/>
          <w:between w:val="nil"/>
        </w:pBdr>
        <w:spacing w:after="0" w:line="240" w:lineRule="auto"/>
        <w:jc w:val="both"/>
        <w:rPr>
          <w:rFonts w:ascii="Arial" w:eastAsia="Arial" w:hAnsi="Arial" w:cs="Arial"/>
          <w:b/>
          <w:color w:val="000000"/>
        </w:rPr>
      </w:pPr>
    </w:p>
    <w:p w:rsidR="00B45FC8" w:rsidRDefault="00B45FC8">
      <w:pPr>
        <w:pBdr>
          <w:top w:val="nil"/>
          <w:left w:val="nil"/>
          <w:bottom w:val="nil"/>
          <w:right w:val="nil"/>
          <w:between w:val="nil"/>
        </w:pBdr>
        <w:spacing w:after="0" w:line="240" w:lineRule="auto"/>
        <w:jc w:val="both"/>
        <w:rPr>
          <w:rFonts w:ascii="Arial" w:eastAsia="Arial" w:hAnsi="Arial" w:cs="Arial"/>
          <w:b/>
          <w:color w:val="000000"/>
        </w:rPr>
      </w:pPr>
    </w:p>
    <w:p w:rsidR="002B5E6E" w:rsidRDefault="002B5E6E">
      <w:pPr>
        <w:pBdr>
          <w:top w:val="nil"/>
          <w:left w:val="nil"/>
          <w:bottom w:val="nil"/>
          <w:right w:val="nil"/>
          <w:between w:val="nil"/>
        </w:pBdr>
        <w:spacing w:after="0" w:line="240" w:lineRule="auto"/>
        <w:jc w:val="both"/>
        <w:rPr>
          <w:rFonts w:ascii="Arial" w:eastAsia="Arial" w:hAnsi="Arial" w:cs="Arial"/>
          <w:b/>
          <w:color w:val="000000"/>
        </w:rPr>
      </w:pPr>
    </w:p>
    <w:p w:rsidR="000E0216" w:rsidRDefault="00290AC4">
      <w:p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color w:val="000000"/>
        </w:rPr>
        <w:t>GERMAN VARÓN COTRINO</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t>JAIME RODRÍGUEZ CONTRERAS</w:t>
      </w:r>
    </w:p>
    <w:p w:rsidR="000E0216" w:rsidRDefault="00290AC4">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Senador de la República</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Representante a la Cámara</w:t>
      </w:r>
    </w:p>
    <w:sectPr w:rsidR="000E0216">
      <w:headerReference w:type="default" r:id="rId8"/>
      <w:foot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C51" w:rsidRDefault="00DB0C51">
      <w:pPr>
        <w:spacing w:after="0" w:line="240" w:lineRule="auto"/>
      </w:pPr>
      <w:r>
        <w:separator/>
      </w:r>
    </w:p>
  </w:endnote>
  <w:endnote w:type="continuationSeparator" w:id="0">
    <w:p w:rsidR="00DB0C51" w:rsidRDefault="00DB0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216" w:rsidRDefault="00290AC4">
    <w:pPr>
      <w:pBdr>
        <w:top w:val="nil"/>
        <w:left w:val="nil"/>
        <w:bottom w:val="nil"/>
        <w:right w:val="nil"/>
        <w:between w:val="nil"/>
      </w:pBdr>
      <w:tabs>
        <w:tab w:val="center" w:pos="4419"/>
        <w:tab w:val="right" w:pos="8838"/>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9D1108">
      <w:rPr>
        <w:noProof/>
        <w:color w:val="000000"/>
      </w:rPr>
      <w:t>19</w:t>
    </w:r>
    <w:r>
      <w:rPr>
        <w:color w:val="000000"/>
      </w:rPr>
      <w:fldChar w:fldCharType="end"/>
    </w:r>
  </w:p>
  <w:p w:rsidR="000E0216" w:rsidRDefault="000E0216">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C51" w:rsidRDefault="00DB0C51">
      <w:pPr>
        <w:spacing w:after="0" w:line="240" w:lineRule="auto"/>
      </w:pPr>
      <w:r>
        <w:separator/>
      </w:r>
    </w:p>
  </w:footnote>
  <w:footnote w:type="continuationSeparator" w:id="0">
    <w:p w:rsidR="00DB0C51" w:rsidRDefault="00DB0C51">
      <w:pPr>
        <w:spacing w:after="0" w:line="240" w:lineRule="auto"/>
      </w:pPr>
      <w:r>
        <w:continuationSeparator/>
      </w:r>
    </w:p>
  </w:footnote>
  <w:footnote w:id="1">
    <w:p w:rsidR="000E0216" w:rsidRDefault="00290AC4">
      <w:pPr>
        <w:rPr>
          <w:rFonts w:ascii="Arial" w:eastAsia="Arial" w:hAnsi="Arial" w:cs="Arial"/>
          <w:sz w:val="16"/>
          <w:szCs w:val="16"/>
          <w:vertAlign w:val="superscript"/>
        </w:rPr>
      </w:pPr>
      <w:r>
        <w:rPr>
          <w:vertAlign w:val="superscript"/>
        </w:rPr>
        <w:footnoteRef/>
      </w:r>
      <w:r>
        <w:rPr>
          <w:rFonts w:ascii="Arial" w:eastAsia="Arial" w:hAnsi="Arial" w:cs="Arial"/>
          <w:sz w:val="16"/>
          <w:szCs w:val="16"/>
          <w:vertAlign w:val="superscript"/>
        </w:rPr>
        <w:t xml:space="preserve"> </w:t>
      </w:r>
      <w:r>
        <w:rPr>
          <w:rFonts w:ascii="Arial" w:eastAsia="Arial" w:hAnsi="Arial" w:cs="Arial"/>
          <w:sz w:val="16"/>
          <w:szCs w:val="16"/>
        </w:rPr>
        <w:t>La Justicia Colombiana en la encrucijada. Rodrigo Uprimny. 2010.</w:t>
      </w:r>
    </w:p>
  </w:footnote>
  <w:footnote w:id="2">
    <w:p w:rsidR="000E0216" w:rsidRDefault="00290AC4">
      <w:pPr>
        <w:jc w:val="both"/>
        <w:rPr>
          <w:rFonts w:ascii="Arial" w:eastAsia="Arial" w:hAnsi="Arial" w:cs="Arial"/>
          <w:sz w:val="16"/>
          <w:szCs w:val="16"/>
        </w:rPr>
      </w:pPr>
      <w:r>
        <w:rPr>
          <w:vertAlign w:val="superscript"/>
        </w:rPr>
        <w:footnoteRef/>
      </w:r>
      <w:r>
        <w:rPr>
          <w:rFonts w:ascii="Arial" w:eastAsia="Arial" w:hAnsi="Arial" w:cs="Arial"/>
          <w:sz w:val="16"/>
          <w:szCs w:val="16"/>
        </w:rPr>
        <w:t xml:space="preserve"> </w:t>
      </w:r>
      <w:r>
        <w:rPr>
          <w:rFonts w:ascii="Arial" w:eastAsia="Arial" w:hAnsi="Arial" w:cs="Arial"/>
          <w:color w:val="000000"/>
          <w:sz w:val="16"/>
          <w:szCs w:val="16"/>
          <w:highlight w:val="white"/>
        </w:rPr>
        <w:t>La brecha tecnológica del país impide que, en la actualidad, la prestación del servicio de justicia sea íntegramente virtual, habida cuenta de que solo el 52,7 % de la población tiene acceso a Internet, dice la Corte Constitucional en Sentencia C-420 de 2020.</w:t>
      </w:r>
    </w:p>
  </w:footnote>
  <w:footnote w:id="3">
    <w:p w:rsidR="000E0216" w:rsidRDefault="00290AC4">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Documentos Conpes 4024 del 8 de marzo de 2021</w:t>
      </w:r>
    </w:p>
  </w:footnote>
  <w:footnote w:id="4">
    <w:p w:rsidR="000E0216" w:rsidRDefault="00290AC4">
      <w:pPr>
        <w:pBdr>
          <w:top w:val="nil"/>
          <w:left w:val="nil"/>
          <w:bottom w:val="nil"/>
          <w:right w:val="nil"/>
          <w:between w:val="nil"/>
        </w:pBdr>
        <w:spacing w:after="0" w:line="240" w:lineRule="auto"/>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Sentencia No. 11001-03-15-000-2015-01333-00 del Consejo de Estado - Sala Contenciosa Administrativa, de 9 de Noviembre de 2016 - Consejero Ponente: Ramiro Pazos Guerrero.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216" w:rsidRDefault="00290AC4">
    <w:pPr>
      <w:pBdr>
        <w:top w:val="nil"/>
        <w:left w:val="nil"/>
        <w:bottom w:val="nil"/>
        <w:right w:val="nil"/>
        <w:between w:val="nil"/>
      </w:pBdr>
      <w:tabs>
        <w:tab w:val="center" w:pos="4419"/>
        <w:tab w:val="right" w:pos="8838"/>
      </w:tabs>
      <w:spacing w:after="0" w:line="240" w:lineRule="auto"/>
      <w:jc w:val="center"/>
      <w:rPr>
        <w:color w:val="000000"/>
      </w:rPr>
    </w:pPr>
    <w:r>
      <w:rPr>
        <w:noProof/>
        <w:color w:val="000000"/>
      </w:rPr>
      <w:drawing>
        <wp:inline distT="0" distB="0" distL="0" distR="0">
          <wp:extent cx="1840865" cy="731520"/>
          <wp:effectExtent l="0" t="0" r="0" b="0"/>
          <wp:docPr id="9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40865" cy="731520"/>
                  </a:xfrm>
                  <a:prstGeom prst="rect">
                    <a:avLst/>
                  </a:prstGeom>
                  <a:ln/>
                </pic:spPr>
              </pic:pic>
            </a:graphicData>
          </a:graphic>
        </wp:inline>
      </w:drawing>
    </w:r>
  </w:p>
  <w:p w:rsidR="000E0216" w:rsidRDefault="000E0216">
    <w:pPr>
      <w:pBdr>
        <w:top w:val="nil"/>
        <w:left w:val="nil"/>
        <w:bottom w:val="nil"/>
        <w:right w:val="nil"/>
        <w:between w:val="nil"/>
      </w:pBdr>
      <w:tabs>
        <w:tab w:val="center" w:pos="4419"/>
        <w:tab w:val="right" w:pos="8838"/>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A2C90"/>
    <w:multiLevelType w:val="multilevel"/>
    <w:tmpl w:val="A148C5A4"/>
    <w:lvl w:ilvl="0">
      <w:numFmt w:val="bullet"/>
      <w:lvlText w:val="-"/>
      <w:lvlJc w:val="left"/>
      <w:pPr>
        <w:ind w:left="720" w:hanging="360"/>
      </w:pPr>
      <w:rPr>
        <w:rFonts w:ascii="Arial" w:eastAsia="Arial" w:hAnsi="Arial" w:cs="Arial"/>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77F5CB8"/>
    <w:multiLevelType w:val="multilevel"/>
    <w:tmpl w:val="A76671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D1F1B91"/>
    <w:multiLevelType w:val="multilevel"/>
    <w:tmpl w:val="6F7EB3EE"/>
    <w:lvl w:ilvl="0">
      <w:start w:val="2020"/>
      <w:numFmt w:val="bullet"/>
      <w:lvlText w:val="-"/>
      <w:lvlJc w:val="left"/>
      <w:pPr>
        <w:ind w:left="720" w:hanging="360"/>
      </w:pPr>
      <w:rPr>
        <w:rFonts w:ascii="Bookman Old Style" w:eastAsia="Bookman Old Style" w:hAnsi="Bookman Old Style" w:cs="Bookman Old Styl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7AC5F00"/>
    <w:multiLevelType w:val="multilevel"/>
    <w:tmpl w:val="9C40C1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60B314B"/>
    <w:multiLevelType w:val="multilevel"/>
    <w:tmpl w:val="6F7EB238"/>
    <w:lvl w:ilvl="0">
      <w:start w:val="1"/>
      <w:numFmt w:val="upperRoman"/>
      <w:lvlText w:val="%1."/>
      <w:lvlJc w:val="left"/>
      <w:pPr>
        <w:ind w:left="1080" w:hanging="72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5" w15:restartNumberingAfterBreak="0">
    <w:nsid w:val="75256DE3"/>
    <w:multiLevelType w:val="multilevel"/>
    <w:tmpl w:val="E8A4A2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216"/>
    <w:rsid w:val="000E0216"/>
    <w:rsid w:val="00290AC4"/>
    <w:rsid w:val="002B5E6E"/>
    <w:rsid w:val="009B2F08"/>
    <w:rsid w:val="009D1108"/>
    <w:rsid w:val="00AC13D1"/>
    <w:rsid w:val="00B45FC8"/>
    <w:rsid w:val="00DB0C51"/>
    <w:rsid w:val="00E378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0AC4D-66E7-4E3E-981B-4C7FDBBD9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7349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link w:val="Ttulo3Car"/>
    <w:uiPriority w:val="9"/>
    <w:qFormat/>
    <w:rsid w:val="00F6650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rrafodelista">
    <w:name w:val="List Paragraph"/>
    <w:aliases w:val="List,titulo 3,Bullets,Ha,Párrafo de lista2,Lista vistosa - Énfasis 11,Cuadrícula clara - Énfasis 31,Párrafo de lista1,Segundo nivel de viñetas,List Paragraph1,Llista Nivell1,Tesis Párrafo de lista,Bullet List,FooterText,l,References,lp1"/>
    <w:basedOn w:val="Normal"/>
    <w:link w:val="PrrafodelistaCar"/>
    <w:uiPriority w:val="34"/>
    <w:qFormat/>
    <w:rsid w:val="003432FF"/>
    <w:pPr>
      <w:ind w:left="720"/>
      <w:contextualSpacing/>
    </w:pPr>
  </w:style>
  <w:style w:type="paragraph" w:styleId="NormalWeb">
    <w:name w:val="Normal (Web)"/>
    <w:basedOn w:val="Normal"/>
    <w:uiPriority w:val="99"/>
    <w:unhideWhenUsed/>
    <w:qFormat/>
    <w:rsid w:val="00F665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3Car">
    <w:name w:val="Título 3 Car"/>
    <w:basedOn w:val="Fuentedeprrafopredeter"/>
    <w:link w:val="Ttulo3"/>
    <w:uiPriority w:val="9"/>
    <w:rsid w:val="00F66505"/>
    <w:rPr>
      <w:rFonts w:ascii="Times New Roman" w:eastAsia="Times New Roman" w:hAnsi="Times New Roman" w:cs="Times New Roman"/>
      <w:b/>
      <w:bCs/>
      <w:sz w:val="27"/>
      <w:szCs w:val="27"/>
      <w:lang w:eastAsia="es-CO"/>
    </w:rPr>
  </w:style>
  <w:style w:type="character" w:styleId="Hipervnculo">
    <w:name w:val="Hyperlink"/>
    <w:basedOn w:val="Fuentedeprrafopredeter"/>
    <w:uiPriority w:val="99"/>
    <w:semiHidden/>
    <w:unhideWhenUsed/>
    <w:rsid w:val="00F66505"/>
    <w:rPr>
      <w:color w:val="0000FF"/>
      <w:u w:val="single"/>
    </w:rPr>
  </w:style>
  <w:style w:type="character" w:styleId="Refdenotaalpie">
    <w:name w:val="footnote reference"/>
    <w:aliases w:val="referencia nota al pie,Nota de pie,Texto nota al pie,BVI fnr,Ref. de nota al pie2,Ref,de nota al pie,Footnote symbol,Footnote,Pie de pagina,Fußnotenzeichen DISS,16 Point,Superscript 6 Point,ftref,FC,Ref1,f,ftr,Footnotes refss"/>
    <w:basedOn w:val="Fuentedeprrafopredeter"/>
    <w:uiPriority w:val="99"/>
    <w:semiHidden/>
    <w:unhideWhenUsed/>
    <w:rsid w:val="00F52521"/>
  </w:style>
  <w:style w:type="character" w:customStyle="1" w:styleId="baj">
    <w:name w:val="b_aj"/>
    <w:basedOn w:val="Fuentedeprrafopredeter"/>
    <w:rsid w:val="0068312C"/>
  </w:style>
  <w:style w:type="paragraph" w:styleId="Textonotapie">
    <w:name w:val="footnote text"/>
    <w:basedOn w:val="Normal"/>
    <w:link w:val="TextonotapieCar"/>
    <w:uiPriority w:val="99"/>
    <w:unhideWhenUsed/>
    <w:rsid w:val="00B72360"/>
    <w:pPr>
      <w:spacing w:after="0" w:line="240" w:lineRule="auto"/>
    </w:pPr>
    <w:rPr>
      <w:sz w:val="20"/>
      <w:szCs w:val="20"/>
    </w:rPr>
  </w:style>
  <w:style w:type="character" w:customStyle="1" w:styleId="TextonotapieCar">
    <w:name w:val="Texto nota pie Car"/>
    <w:basedOn w:val="Fuentedeprrafopredeter"/>
    <w:link w:val="Textonotapie"/>
    <w:uiPriority w:val="99"/>
    <w:rsid w:val="00B72360"/>
    <w:rPr>
      <w:sz w:val="20"/>
      <w:szCs w:val="20"/>
    </w:rPr>
  </w:style>
  <w:style w:type="character" w:customStyle="1" w:styleId="PrrafodelistaCar">
    <w:name w:val="Párrafo de lista Car"/>
    <w:aliases w:val="List Car,titulo 3 Car,Bullets Car,Ha Car,Párrafo de lista2 Car,Lista vistosa - Énfasis 11 Car,Cuadrícula clara - Énfasis 31 Car,Párrafo de lista1 Car,Segundo nivel de viñetas Car,List Paragraph1 Car,Llista Nivell1 Car,FooterText Car"/>
    <w:link w:val="Prrafodelista"/>
    <w:uiPriority w:val="34"/>
    <w:qFormat/>
    <w:locked/>
    <w:rsid w:val="00FE3EC8"/>
  </w:style>
  <w:style w:type="table" w:customStyle="1" w:styleId="2">
    <w:name w:val="2"/>
    <w:basedOn w:val="Tablanormal"/>
    <w:rsid w:val="00FE3EC8"/>
    <w:pPr>
      <w:pBdr>
        <w:top w:val="nil"/>
        <w:left w:val="nil"/>
        <w:bottom w:val="nil"/>
        <w:right w:val="nil"/>
        <w:between w:val="nil"/>
        <w:bar w:val="nil"/>
      </w:pBd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bdr w:val="nil"/>
      <w:lang w:eastAsia="es-ES"/>
    </w:rPr>
    <w:tblPr>
      <w:tblStyleRowBandSize w:val="1"/>
      <w:tblStyleColBandSize w:val="1"/>
    </w:tblPr>
  </w:style>
  <w:style w:type="table" w:customStyle="1" w:styleId="1">
    <w:name w:val="1"/>
    <w:basedOn w:val="Tablanormal"/>
    <w:rsid w:val="00FE3EC8"/>
    <w:pPr>
      <w:pBdr>
        <w:top w:val="nil"/>
        <w:left w:val="nil"/>
        <w:bottom w:val="nil"/>
        <w:right w:val="nil"/>
        <w:between w:val="nil"/>
        <w:bar w:val="nil"/>
      </w:pBd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bdr w:val="nil"/>
      <w:lang w:eastAsia="es-ES"/>
    </w:rPr>
    <w:tblPr>
      <w:tblStyleRowBandSize w:val="1"/>
      <w:tblStyleColBandSize w:val="1"/>
    </w:tblPr>
  </w:style>
  <w:style w:type="table" w:styleId="Tablaconcuadrcula">
    <w:name w:val="Table Grid"/>
    <w:basedOn w:val="Tablanormal"/>
    <w:uiPriority w:val="39"/>
    <w:rsid w:val="005876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734994"/>
    <w:rPr>
      <w:rFonts w:asciiTheme="majorHAnsi" w:eastAsiaTheme="majorEastAsia" w:hAnsiTheme="majorHAnsi" w:cstheme="majorBidi"/>
      <w:color w:val="2E74B5" w:themeColor="accent1" w:themeShade="BF"/>
      <w:sz w:val="32"/>
      <w:szCs w:val="32"/>
    </w:rPr>
  </w:style>
  <w:style w:type="character" w:customStyle="1" w:styleId="normaltextrun">
    <w:name w:val="normaltextrun"/>
    <w:basedOn w:val="Fuentedeprrafopredeter"/>
    <w:rsid w:val="00734994"/>
    <w:rPr>
      <w:w w:val="100"/>
      <w:position w:val="-1"/>
      <w:effect w:val="none"/>
      <w:vertAlign w:val="baseline"/>
      <w:cs w:val="0"/>
      <w:em w:val="none"/>
    </w:rPr>
  </w:style>
  <w:style w:type="paragraph" w:styleId="Encabezado">
    <w:name w:val="header"/>
    <w:basedOn w:val="Normal"/>
    <w:link w:val="EncabezadoCar"/>
    <w:uiPriority w:val="99"/>
    <w:unhideWhenUsed/>
    <w:rsid w:val="00A163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1637C"/>
  </w:style>
  <w:style w:type="paragraph" w:styleId="Piedepgina">
    <w:name w:val="footer"/>
    <w:basedOn w:val="Normal"/>
    <w:link w:val="PiedepginaCar"/>
    <w:uiPriority w:val="99"/>
    <w:unhideWhenUsed/>
    <w:rsid w:val="00A163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1637C"/>
  </w:style>
  <w:style w:type="paragraph" w:styleId="Textodeglobo">
    <w:name w:val="Balloon Text"/>
    <w:basedOn w:val="Normal"/>
    <w:link w:val="TextodegloboCar"/>
    <w:uiPriority w:val="99"/>
    <w:semiHidden/>
    <w:unhideWhenUsed/>
    <w:rsid w:val="001966C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66CD"/>
    <w:rPr>
      <w:rFonts w:ascii="Segoe UI" w:hAnsi="Segoe UI" w:cs="Segoe UI"/>
      <w:sz w:val="18"/>
      <w:szCs w:val="1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9OZ6TLgULYHrGyhR9KfHa0zAGw==">AMUW2mVukCL6ZcJxbYtTuIknYGwlv2UnRT398zjR9EIaVt1nyLQsFj5IWw/6I5CvyFRlZtrw2CMXWF8nMJQ82ZMorfEQMtxFHo6OgRNra3XJJb8WvjLkSgp16r5EJ3s51RtTADB8TfeI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8274</Words>
  <Characters>45507</Characters>
  <Application>Microsoft Office Word</Application>
  <DocSecurity>0</DocSecurity>
  <Lines>379</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rico</dc:creator>
  <cp:lastModifiedBy>Lucena Gonzalez Quiroga</cp:lastModifiedBy>
  <cp:revision>2</cp:revision>
  <cp:lastPrinted>2022-04-20T17:14:00Z</cp:lastPrinted>
  <dcterms:created xsi:type="dcterms:W3CDTF">2022-04-20T17:49:00Z</dcterms:created>
  <dcterms:modified xsi:type="dcterms:W3CDTF">2022-04-20T17:49:00Z</dcterms:modified>
</cp:coreProperties>
</file>